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septiembre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3929-2020, promovido por doña Juana Girona Benítez contra el auto del Juzgado de Primera Instancia núm. 43 de Barcelona núm. 172/2020, de 6 de julio de 2020, por la que se desestima el incidente de nulidad de actuaciones promovido contra el auto de 20 de septiembre de 2018, por el que se desestima el recurso de reposición interpuesto contra la providencia de 28 de mayo de 2018, pronunciados en el procedimiento de ejecución de títulos no judiciales núm. 685-2016. Ha sido parte la entidad Caisse Régionale de Crédit Agricole Mutuel Sud Méditerranée.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Juana Girona Benítez, representada por la procuradora de los tribunales doña María José Carnero López, bajo la dirección del letrado don Iker Cabezuelo Adame, formalizó la demanda de amparo contra las resoluciones judiciales que se menciona en el encabezamiento de esta sentencia mediante escrito registrado en el tribunal el 2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junio de 2016, la entidad Caisse Régionale de Crédit Agricole Mutuel Sud Méditerranée presentó demanda de ejecución de un título no judicial contra la demandante de amparo, por el impago de determinadas cuotas de un préstamo, siendo tramitado con el núm. 685-2016 por el Juzgado de Primera Instancia núm. 43 de Barcelona, que dictó auto de 6 de abril de 2017 despachando ejecución, no haciendo ninguna referencia expresa a la eventual abusividad del clausulado del título a ejecutar. Una vez comunicado dicho auto la demandante de amparo no formuló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mediante escrito registrado el 20 de noviembre de 2017, alegó ante el juzgado la existencia de varias cláusulas en el título a ejecutar que consideraba podrían ser abusivas instando su control judicial. La petición fue desestimada por providencia de 28 de mayo de 2018, con el argumento de que “teniendo por hechas las manifestaciones y habiendo precluido el plazo para presentar escrito de oposición, debe estarse al auto despachando ejecución, no apreciándose cláusulas abusivas al dictado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mediante escrito registrado el 15 de junio de 2018, interpuso recurso de reposición, invocando la jurisprudencia constitucional y del Tribunal de Justicia de la Unión Europea sobre la obligación del control de abusividad de este tipo de contratos en estos procedimientos. El recurso fue desestimado por auto de 20 de septiembre de 2018 con el argumento de que “en el caso el recurrente no tiene en cuenta el texto íntegro de la resolución recurrida y que en la misma ya ha existido pronunciamiento en relación al control de oficio de cláusulas abusivas. Y así se establece expresamente en la resolución recurrida que al dictado del auto despachando ejecución no se aprecia la existencia de las mismas. Efectuado este control en el momento inicial, la parte ejecutada tenía el trámite de oposición para efectuar alegaciones sobre dichas cláusulas, sin que hicieses manifestación alguna. Siendo ello así no puede reiterarse un nuevo control, ya efectuado este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de amparo, mediante escrito de 25 de octubre de 2018, promovió incidente de nulidad de actuaciones, con expresa invocación del art. 24.1 CE y de la jurisprudencia constitucional y del Tribunal de Justicia de la Unión Europea sobre la obligación de control, incluso de oficio, de la abusividad del clausulado sin que frente a ello pueda alegarse la preclusión del plazo. El incidente fue desestimado por auto núm. 170/2020, de 6 de julio, argumentando que “en el caso que nos ocupa, ninguna infracción se ha producido que determine indefensión para la parte promotora del incidente. El incidente instado por la Sra. Girona, pretende una nueva resolución en relación a una cuestión sobre la que este juzgado ya se ha pronunciado, pretendiendo una suerte de recurso utilizando el incidente excepcional de nulidad de actuaciones. Dicho mecanismo excepcional no puede ser utilizado con esa finalidad, excediendo de su ámbito legal, por lo que procede desestimar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solicita que se otorgue el amparo por vulneración del derecho a la tutela judicial efectiva (art. 24.1 CE), declarándose la nulidad de las resoluciones impugnadas con retroacción de actuaciones para que se pronuncie una resolución respetuosa con dicho derecho, con fundamento en que la decisión judicial de negarse a realizar el control de abusividad solicitado incurre en una interpretación irrazonable y arbitraria de la jurisprudencia del Tribunal de Justicia de la Unión Europea en materia de cláusulas abusivas, que obliga a los tribunales a examinar de oficio y en cualquier momento del proceso la abusividad de las cláusulas del contrato sobre las que no ha recaído una decisión judicial con la fuerza de cosa juzgada, sin que quepa admitir, como se pretende en las resoluciones judiciales, la existencia de ese control, ni siquiera externo, cuando no existe un razonamiento expreso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argumenta, en un apartado específico dedicado al efecto, que el recurso plantea una especial transcendencia constitucional, pues, (i) a pesar de haberse dictado ya pronunciamientos claros del Tribunal Constitucional sobre el particular, en la jurisdicción ordinaria continúan dictándose resoluciones que contravienen la jurisprudencia constitucional y (ii) plantea una cuestión de calado social y económico, al estar en juego el derecho a la vivienda, por las consecuencias que puede entrañar para el Estado el incumplimiento del Derecho de la Unión Europea y las numerosas ejecuciones que se producen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19 de abril de 2021, acordó la admisión a trámite del presente recurso, apreciando que concurre en el mismo una especial trascendencia constitucional [art. 50.1 de la Ley Orgánica del Tribunal Constitucional (LOTC)] porque el asunto suscitado transciende el caso concreto porque plantea una cuestión jurídica de relevante y general repercusión social o económica [STC 155/2009, FJ 2 g)], dirigir atenta comunicación al órgano judicial para que remita certificación o fotocopia adverada de las actuaciones y emplazamiento para que puedan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14 de mayo de 2021, acordó tener por personada a la entidad Caisse Régionale de Crédit Agricole Mutuel Sud Méditerranée, representada por la procuradora de los tribunales doña Paloma Ortiz-Cañavate Levenfeld, y dar vista de las actuaciones al Ministerio Fiscal y a las partes personadas por el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11 de junio de 2021, interesó que se estimara el recurso por vulneración del derecho a la tutela judicial efectiva (art. 24.1 CE) anulándose las resoluciones impugnadas con retroacción de actuaciones al pronunciamiento de la providencia de 28 de mayo de 2018. Tras la transcripción de la jurisprudencia establecida en la STC 31/2019, de 28 de febrero, con amplia referencia a los diferentes fundamentos de la STJUE de 26 de enero de 2017, el fiscal concluye que se ha vulnerado el art. 24.1 CE, ya que (i) ni en el auto despachando la ejecución ni en la providencia en la que se afirma que ya ha existido un control de abusividad se realiza ningún examen ni alusión sobre la eventual abusividad del clausulado del contrato; (ii) la carencia de cualquier tipo de valoración sobre el carácter abusivo no puede ser sobreentendida con la mera afirmación de que no tienen tal carácter; y (iii) no puede alegarse el supuesto efecto preclusivo derivado de la ausencia de oposición a la ejecución por tratarse de una obligación de control que se impone al juzgador incluso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27 de mayo de 2021, presentó sus alegaciones solicitando que se inadmita el presente recurso, ya que en el incidente de nulidad de actuaciones formulado no se invocó el art. 24.1 CE y ha sido utilizado de manera improcedente; y, subsidiariamente, se desestime el recurso, pues, en los términos afirmados por la resolución recurrida, el control de abusividad ya se realizó en el auto despachando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septiembre de 2021 se señaló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tutela judicial efectiva del recurrente (art. 24.1 CE) la decisión judicial adoptada en el procedimiento de ejecución de títulos no judiciales de rechazar la petición, amparada en la aplicación de la normativa comunitaria y en la jurisprudencia que la interpreta, de analizar la abusividad de determinadas cláusulas del contrato de préstamo cuya ejecución se instaba, con el argumento de que el auto despachando la ejecución ya había desarrollado el control de oficio de la abusividad del clausulado del título no judicial en que se fundaba la ejecución y tampoco se había instado dicho control en el trámite de oposición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concurrencia de causas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comparecida considera que la demandante de amparo ha utilizado de manera improcedente del incidente de nulidad de actuaciones y que, además, se limitó a plantear en dicho incidente cuestiones de legalidad ordinaria sin invocar la lesión de ningún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cabe descartar la alegación referida a la falta de invocación del derecho fundamental a la tutela judicial efectiva (art. 24.1 CE) en el incidente de nulidad de actuaciones, ya que su suplico contiene una expresa referencia a este precepto constitucional como causal de la nulidad. También en el desarrollo argumental se hace expresa mención a la jurisprudencia constitucional en la materia, lo que, desde la perspectiva de la subsidiariedad del amparo, es más que suficiente al haber dado posibilidad al órgano judicial para propiciar un pronunciamiento y eventual restablecimiento de dicho derecho fundamental en la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descarta la improcedencia de este remedio procesal por aplicación de la reiterada jurisprudencia constitucional sobre que no cabe apreciar dicha improcedencia en supuestos en que el órgano judicial ha sustanciado el incidente (STC 39/2016, de 3 de marzo, FJ 2), tal como ha sucedido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control de abusividad en los procedimientos ejecutivos y su vinculación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 ha pronunciado en la STC 31/2019, de 28 de febrero, sobre la proyección que respecto del derecho a la tutela judicial efectiva (art. 24.1 CE) tiene el deber de control de abusividad del clausulado de los títulos no judiciales en los procedimientos judiciales amparado en el Derecho de la Unión Europea (Directiva 93/13/CEE, del Consejo, de 5 de abril, sobre cláusulas abusivas en los contratos celebrados con consumidores y STJUE de 26 de enero de 2017, C-421/14, asunto Banco Primus, S. A., c. Jesús Gutiérrez García). En dicha resolución, este tribunal ha declarado que, de acuerdo con la Directiva 93/13/CEE, conforme a la interpretación realizada por parte del Tribunal de Justicia de la Unión Europea (sentencia de 26 de enero de 2017),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De ese modo, la STC 31/2019 establece (i) que no cabe considerar que el plazo para denunciar la existencia de cláusulas abusivas haya precluido solo porque la parte ejecutada no formulase oposición a la ejecución en el plazo de diez días previsto en el art. 557, en relación con el art. 556, ambos de la LEC (FJ 6); y (ii) que si “no consta en ningún apartado del auto despachando la ejecución que se haya producido un examen del clausulado contractual”, no puede entenderse realizado y justificado con la simple afirmación de que la demanda ejecutiva “cumple los requisitos establecidos en el artículo 685 LEC” (FJ 8). Por ello concluye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órgano judicial despachó ejecución por auto de 6 de abril de 2017 haciendo únicamente una general referencia a que el título ejecutivo no adolece de ninguna irregularidad formal, pero ninguna mención se contiene respecto de la inexistencia de abusividad en el clausulado, que permita evidenciar que existió siquiera un control judicial externo sobre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si bien no se opuso al despacho de la ejecución, mediante escrito dirigido al juzgado instó el control de la abusividad de determinadas cláusulas, lo que fue denegado en sucesivas resoluciones (providencia de 28 de mayo de 2018 y autos de 20 de septiembre de 2018 y núm. 172/2020, de 6 de julio de 2020) con el doble argumento de que en el auto de despacho de la ejecución ya había existido un pronunciamiento sobre el particular y que la demandante de amparo no hizo manifestación alguna sobre esta cuestión en el trámite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antecedentes y tomando en consideración la jurisprudencia establecida en la citada STC 31/2019, el tribunal concluye, de conformidad con lo también solicitado por el Ministerio Fiscal, que se ha producido una vulneración del derecho a la tutela judicial efectiva (art. 24.1 CE), ya que (i) la genérica y formularia mención en el auto despachando la ejecución a la inexistencia de irregularidad formal en el título no judicial que da lugar a la ejecución no satisface las exigencias que respecto de la obligación de control judicial sobre la abusividad del clausulado se derivan de la jurisprudencia constitucional y (ii) tampoco lo hace el efecto preclusivo que pretende proyectar el órgano judicial sobre el trámite de oposición por tratarse de una obligación judicial de control que debe ejercerse incluso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otorgarse el amparo por vulneración del derecho a la tutela judicial efectiva (art. 24.1 CE) con los efectos de la declaración de nulidad las resoluciones impugnadas y la retroacción de actuaciones para que haya un pronunciamiento respetuoso con el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Juana Girona Benítez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providencia del Juzgado de Primera Instancia núm. 43 de Barcelona de 28 de mayo de 2018 y de los autos de 20 de septiembre de 2018 y núm. 172/2020, de 6 de julio de 2020, pronunciados en el procedimiento de ejecución de títulos no judiciales núm. 685-2016.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primera de las resoluciones anuladas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3929-2020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3929-2020,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septiembre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