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25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representación procesal de don Oriol Junqueras Vies y de don Raül Romeva Rueda, mediante escrito registrado en este tribunal el 1 de diciembre de 2021, en el recurso de amparo núm. 1621-2020; las representaciones de doña Dolors Bassa i Coll, doña Clara Ponsatí i Obiols, don Carles Puigdemont i Casamajó, don Antoni Comín i Oliveres, don Lluís Puig i Gordi, a través de seis escritos registrados el 2 de diciembre de 2021, en los recursos de amparo núms. 1599-2020, 2835-2021, 2017-2021, 1212-2021, 972-2021 y 5513-2020; y, finalmente las representaciones de don Joaquim Forn i Chiariello y de don Joaquim Torra i Pla, mediante cinco escritos registrados el 3 de diciembre de 2021 en los recursos de amparo núms. 1638-2020 —el primero— y en los recursos de amparo núms, 3476-2020, 4586-2020, 5840-2020 y 6056-2021 —el segundo—, plantearon treinta y tres solicitudes de recusación del presidente del tribunal y de los magistrados don Enrique Arnaldo Alcubilla y doña Concepción Espejel Jorquera en términos similares, y en muchos casos con idéntica redacción, al considerar que concurrían las causas de recusación previstas en los apartados noveno, décimo, décimo tercero, décimo cuarto y décimo sexto del art. 219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ATC 107/2021, de 15 de diciembre, el Pleno del Tribunal acordó la inadmisión a trámite de las recusaciones promovidas frente al presidente de este tribunal por no concurrir la causa de recusación invocada [FJ 4 a)]. Asimismo, consideró extemporáneas las recusaciones planteadas en los recursos de amparo núms. 1638-2020, 3476-2020, 4586-2020 y 5840-2020, por don Joaquim Forn i Chiariello y don Joaquim Torra i Pla [FJ 4 b)]. Finalmente, rechazó el resto de las recusaciones promovidas contra los magistrados don Enrique Arnaldo Alcubilla y doña Concepción Espejel Jorquera al sustentarse en “meras afirmaciones de imposible encaje en un motivo de recusación y huérfanas de todo sustento en hechos concretos” o por apoyarse “en la mera invocación de una causa legal carente de cualquier vínculo con los hechos que se narran para darle sustento” [FJ 4 c)] o, por “carecer manifiestamente de fundamento suficiente” (FFJJ 5 y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Frente al mencionado auto se han interpuesto diversos recursos de aclaración y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22 de diciembre de 2021, por la representación de don Joaquim Forn i Chiariello se registró un escrito en el recurso de amparo núm. 1638-2020, por el que solicitaba la aclaración del ATC 107/2021 y subsidiariamente interponía recurso de súplica contra el mismo, al considerar que conforme al art. 135.5 de la Ley de enjuiciamiento civil (LEC) en relación con el art. 4 LEC, podía presentar el escrito de recusación el día 3 de diciembre de 2021 antes de las 15:00 horas, por lo que la recusación no era extemporánea.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Ese mismo día, por las correspondientes representaciones de los recurrentes de amparo, se presentaron en los recursos de amparo tramitados con los números 2835-2021, 1212-2021, 972-2021, 2017-2021, 5513-2020, 3476-2020, 4586-2020, 5840-2020 y 6056-2021, nueve escritos idénticos, en los que solicitaban la aclaración del ATC 107/2021 en relación con el cómputo del número de magistrados que componían el Pleno que había acordado la decisión de inadmisión de las recusaciones. Añadían que se había omitido dar respuesta tanto a la causa de recusación prevista en el apartado décimo del art. 219 LOPJ, en relación al presidente de este tribunal por su amistad con el magistrado don Enrique Arnaldo, y a esa misma causa, y a la prevista en el apartado décimo cuarto del art. 219 LOPJ, invocadas con motivo de la relación de amistad del magistrado don Enrique Arnaldo Alcubilla con el presidente y un magistrado de la Sala de lo Penal del Tribunal Supremo o con el que fuera fiscal general del Estado, ya fallecido, y con uno de los letrados de la Junta Electoral Central. Finalmente solicitaban corregir el error en el que habría incurrido la resolución cuando asevera que el manifiesto firmado por el magistrado recusado fue firmado antes de que se iniciara el procedimiento penal contra cualquiera de los recusantes.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 día siguiente, esas mismas representaciones procesales presentaron nueve recursos de súplica contra el ATC 107/2021 en los indicados recursos de amparo, a través de otros tantos escritos de idéntica redacción, si bien en los recursos de amparo 3476-2020, 4586-2020, 5840-2020 y 6056-2021, se añadía un razonamiento específico cuestionando la inadmisión por extemporaneidad, por considerar que cuando se registraron los escritos de recusación el plazo no se había iniciado. Afirmación que argumentaban en que el nombramiento en el “BOE” no es una resolución notificada y el momento de la incorporación de los magistrados es la toma de posesión que tampoco se notificó. Añaden que no se argumenta por qué conocía o podía conocer las publicaciones o la amistad del magistrado recusado o las resoluciones de la magistrada recusada.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tales recursos de súplica se alegaba la vulneración del derecho a la tutela judicial efectiva que resultaría del carácter genérico del auto recurrido, de la inadmisión a limine de las recusaciones, —que solo sería posible por incumplimiento de los requisitos formales para su tramitación—, y de la omisión de pronunciarse sobre las invocadas causas de recusación previstas en el apartado décimo del art. 219 LOPJ, respecto del presidente del Tribunal Constitucional y del magistrado don Enrique Arnaldo, y en el apartado décimo cuarto del art. 219 LOPJ respecto de este último. Asimismo, invocan la vulneración del derecho a un tribunal independiente e imparcial, por la participación en la decisión sobre la recusación de los magistrados abstenidos y de los recusados, sin que se diera ninguna explicación a la decisión de participación de la magistrada doña Concepción Espejel en su propia recusación, afectando en este caso al derecho a una resolución motivada y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los recurrentes, el art. 14 de la Ley Orgánica del Tribunal Constitucional (LOTC) admite otras interpretaciones más compatibles con el derecho a un tribunal imparcial, pues “conforme a la jurisprudencia del Tribunal Europeo de Derechos Humanos, una norma de Derecho interno en modo alguno puede justificar la vulneración de un derecho fundamental” y, en este caso, el sacrificio del mencionado derecho “ni obedece a una justificación objetiva y razonable, ni es proporcionado, pues pretende sacrificar el derecho al juez imparcial con base en una interpretación rígida e irrazonable del artículo 14 de la Ley Orgánica del Tribunal Constitucional”. Indica en tal sentido que el hecho de que los magistrados no recusados no hayan participado en la decisión a partir de un determinado momento, significa que su participación no era necesaria para cumplir con el art. 14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Añaden que se hubiera evitado la paralización del Tribunal tramitando ante la Sala los recursos de amparo, sin que sea aplicable la doctrina expuesta en el ATC 443/2007, de 27 de noviembre, al haberse dictado en un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Insisten en la ausencia de pronunciamiento en relación con los motivos de recusación previstos en los apartados décimo y décimo cuarto del art. 219 LOPJ. Añaden, en relación con el magistrado don Enrique Arnaldo, que la inadmisión de la causa de recusación prevista en el apartado noveno del art. 219 LOPJ, en relación con el que fuera fiscal general del Estado, ya fallecido, se ha apartado de lo resuelto en los AATC 99/2018, de 24 de septiembre, y 7/2019, de 5 de febrero, e insisten en la quiebra de imparcialidad que resulta de las manifestaciones efectuadas por el referido magistrado y en que, cuando este firmó el manifiesto, ya se había admitido a trámite la querella contra los cuatro recusantes ante el Tribunal Superior de Justicia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Discrepan de la inadmisión de la causa de recusación invocada en relación con la magistrada doña Concepción Espejel Jorquera por su anterior destino en la Sala de lo Penal de la Audiencia Nacional, en la que fijó “posición sobre la culpabilidad de los recurrentes en la causa especial núm. 20907-2017”.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entienden que debió apreciarse la estrecha amistad del presidente del tribunal con el magistrado recusado, que resultaría de las manifestaciones contenidas en el libro publicado por don Enrique Arnaldo, para apartarle de la resolución del incidente de recusación planteado contra este magistrado, abundando en que la causa invocada no era la prevista en el apartado noveno, sino en el décimo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diligencias de ordenación dictadas el 27 de diciembre de 2021, en cada uno de los recursos de amparo, se dio traslado de los recursos de súplica y solicitudes de aclaración al Ministerio Fiscal y a las demás partes personadas para que, en el plazo de tres días, puedan exponer lo que estimen procedente en relación con dichos escritos.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escritos fechados el 3 de enero de 2022, el abogado-jefe del Estado en los recursos de amparo 972-2021, 1212-2021, 2835-2021 y 1638-2020, solicitó la inadmisión de los recursos de aclaración, al ser improcedentes, y encubrir en realidad un recurso de súplica, así como la desestimación de estos al ser conformes a derecho. Específicamente, en relación con la aclaración interesada en el recurso de amparo núm. 1638-2020, sustentó su inadmisión en su carácter extemporáneo por haber transcurrido el plazo de dos días contados desde la notificación del auto producida el 20 de diciembre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partido político Vox, mediante escritos presentados en los recursos de amparo 972-2021, 1212-2021, 2835-2021, 1638-2020, 3476-2020 y 4586-2020, solicitó que se desestimara la aclaración interesada, con fundamento en los propios argumentos de la resolución impugnada, sosteniendo que el auto “se expresa con claridad y no es precisa su aclaración”.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dicha representación interesó la desestimación de los recursos de súplica interpuestos en los mencionados recursos de amparo. A tal fin, argumenta en su escrito que la interpretación del apartado noveno del art. 219 LOPJ y la extemporaneidad apreciada en el auto recurrido son acordes a la doctrina del Tribunal Constitucional. Rechaza la ausencia de motivación de la resolución recurrida y entiende que los argumentos aducidos por los recurrentes no podían tener encaje en las causas novena, décima y décima tercera del art. 219 LOPJ. Finalmente, refiere que no concurren las causas de recusación invocadas.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los recursos de amparo 2017-2021 y 3476-2020 el letrado de la Junta Electoral Central, mediante escrito registrado el 30 de diciembre de 2021, se opuso a la solicitud de aclaración del ATC 107/2021, al no ser subsumible en lo dispuesto en el art. 93.1 LOTC, por no existir ningún error aritmético ni concurrir la omisión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medio de escritos de fecha 18 de enero 2022 el Ministerio Fiscal presentó en los recursos de amparo 1638-2020, 2835-2021, 1212-2021, 972-2021, 2017-2021, 5513-2020, 3476-2020, 4586-2020, 5840-2020 y 6056-2021, sus alegaciones conjuntas en relación con las solicitudes de aclaración e interposición de recurso de súplica, atendida la íntima vinculación de las pretensiones deducidas, solicitando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refiriéndose a cada una de las solicitudes de aclaración las considera injustificadas e innecesarias, entendiendo que son inocuas, pues ninguna de ellas podría ayudar realmente a entender y aceptar la verdadera razón de ser, la verdadera ratio decidendi, de la decisión adoptada en el auto de 15 de diciembre, relativa a la naturaleza y función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Examina a continuación, ahondando en esta última idea, el recurso de súplica interpuesto, e indica que es la base constitucional/institucional de la decisión adoptada por el Tribunal, que se expresa y desarrolla en los fundamentos jurídicos segundo y tercero del auto impugnado, y no el diverso y atomizado arsenal de argumentos o contraargumentos a los que la parte actora pretende reconducir y reducir el debate, lo que justifica y exige rechazar de plano las pretensiones de su recurso, pues estas no atienden a la verdadera lógica jurídica e institucional del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las recusaciones formuladas adolecen de una insuficiencia fáctica y jurídica, pero la cuestión jurídica relevante es que el planteamiento de las recusaciones formuladas aboca al bloqueo de la jurisdicción del Tribunal. Los planteamientos del recurrente, ignoran o soslayan el problema principal, esto es, que la regla de exclusión de los magistrados recusados, sea para conocer de la propia recusación, o sea —con mayor motivo— para, apreciada esta, abordar el enjuiciamiento de fondo, produce el efecto objetivo de dejar al Pleno del tribunal por debajo del quorum previsto en el artículo 14 LOTC. Dicho quorum resulta de una exigencia que aparece vinculada a la esencia y la naturaleza del Tribunal, cuyos magistrados han sido seleccionados a través de una fuente de legitimación específica, predeterminada y delimitada con estudiada precisión en busca de un exacto equilibrio. Han sido elegidos porque piensan y, además, por lo que piensan, y es la propia Constitución —y su desarrollo por ley orgánica— la que aporta los engranajes para que la combinación dialéctica y ordenada de esa diversidad de legitimidades y pensamientos sirva al objetivo esencial de la pluralidad en el entendimiento, interpretación y aplicación de las normas básicas de convivencia.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objetar la imparcialidad de los magistrados del Tribunal Constitucional porque sus ideas o sus manifestaciones se perciben como síntomas de animadversión no frente a las personas (lo que exigiría la acabada acreditación de una causa de recusación subjetiva), sino respecto de sus actuaciones políticas o frente a sus posiciones ideológicas, implica un desenfoque patente de la naturaleza y la misión del Tribunal. Por eso las “soluciones” sugeridas por la parte recurrente, basadas en cálculos aritméticos que pasan por instruir al Tribunal acerca del orden en que podría despachar los asuntos para sortear pragmáticamente las dificultades o la invitación a interpretaciones forzadas del texto de la Ley Orgánica del Tribunal Constitucional sobre la composición del Pleno del Tribunal, no alcanzan —o no quieren alcanzar— a percibir lo verdaderamente crucial. En definitiva, no es un problema de números, sino de identidades; de legitimaciones equilibradas y cruzadas que enraízan en el valor superior (art. 1 CE) que por definición encarna la democracia: el pluralismo político. Valor que, como atinadamente subraya el auto recurrido, guarda una estrecha correspondencia con la pluralidad de perspectivas jurídicas que confluyen en 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determina un enfoque “no genérico”, como dicen los recurrentes, sino conceptual, de las causas de recusación objetivas como especialmente necesitadas de un entendimiento restrictivo. Añade que el análisis desde la perspectiva del artículo 419.9 LOPJ de algunas de las alegaciones que la parte recurrente pretende reconducir al artículo 419.10 o incluso al 419.14 LOPJ, responde a que frente a las causas de recusación de base subjetiva, cuya inconcurrencia se pone de manifiesto en la inanidad fáctica de la mayoría de las alegaciones formuladas por los recusantes, y en la palmaria insuficiencia de otras, lo que en realidad se rechaza es el artificio subyacente a la alegación de una causa de recusación objetiva por persona interpuesta.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decisión de integrar a los magistrados recusados en la deliberación y decisión del incidente, tiene como precedente el ATC 443/2007, de 27 de noviembre, FJ 3, cuya fundamentación se recoge en la lógica que preside la motivación del auto, la necesidad de defender la jurisdicción del Tribunal, y no solo desde un plano formal-orgánico de la configuración del Tribunal, sino, como se ha expuesto, también y sobre todo a su naturaleza, a su sistema de legitimación.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trata de contraponer imparcialidad y reglas de funcionamiento; se trata de resolver el dilema trascendental que supone el tener que elegir entre aplicar con rigor formal absoluto las reglas más exigentes dirigidas a preservar en términos igualmente absolutos el estándar de la apariencia de imparcialidad, renunciando así el Tribunal al ejercicio de su propia jurisdicción, y dejando por tanto sin solución el problema de fondo, o flexibilizar la aplicación de esas reglas para que el Tribunal pueda decidir, sin perjuicio de aplicar con todo el rigor que se desee el canon de la imparcialidad a cada una de las concretas decisiones que vaya adoptando y a la resolución de fondo que finalmente dicte, sujeta al escrutinio de la razonabilidad objetiva y la motivación fundada que el propio Tribunal ha ido delimitando al interpretar el artículo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concluye con la idea rectora que ha fundamentado la solicitud de desestimación del recurso, al indicar que lo expuesto conduce a considerar irrelevante el análisis pormenorizado de cada una de las quejas detalladas en los escritos de recusación que se reproducen en el recurso de súplica. Y ello sin perjuicio de considerar acertados y suscribir los argumentos que, a fortiori, el propio Tribunal expresa en el fundamento jurídico 4 del auto, al examinar las alegaciones puntuales en las que se apoya la pretensión de recusación formulada.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es dar respuesta a las diez solicitudes de aclaración y recursos de súplica planteados contra el ATC 107/2021, de 15 de diciembre por el que se inadmitieron las treinta y tres solicitudes de recusación del presidente del tribunal y de los magistrados don Enrique Arnaldo Alcubilla y doña Concepción Espejel Jorquera, que habían sido formuladas por los demandantes de amparo en términos similares —muchas de ellas con idéntica redacción—, en los recursos de amparo 1638-2020, 2835-2021, 1212-2021, 972-2021, 2017-2021, 5513-2020, 3476-2020, 4586-2020, 5840-2020 y 6056-2021.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Ministerio Fiscal y las partes personadas se han opuesto a las solicitudes de aclaración y a los recursos de súplica, interesando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las solicitudes de aclaración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93.1 LOTC establece que, en el plazo de dos días, a contar desde la notificación, las partes podrán solicitar la aclaración de sus sentencias, precepto que se ha extendido al resto de resoluciones que este Tribunal Constitucional tiene competencia para dictar (AATC 120/2019, de 21 de octubre, FJ 1, y 159/2020, de 14 de diciembre, FJ 1). Ahora bien, como hemos declarado en anteriores ocasiones, esta actuación judicial deberá limitarse, de acuerdo con lo establecido en el art. 267 LOPJ, a la corrección de errores materiales manifiestos o errores aritméticos, a la aclaración de algún concepto oscuro, a suplir cualquier omisión o a la rectificación de alguna contradicción manifiesta que se evidencie del propio texto de la sentencia, sin necesidad de nuevas deducciones o interpretaciones (entre otros muchos, AATC 94/2013, de 7 de mayo, FJ 1; 48/2014, de 24 de febrero, FJ único; 128/2017, de 22 de septiembre, FJ único, y 159/2020, de 14 de diciembre, FJ 1). O, dicho de otra manera, la solicitud de aclaración “no constituye un medio de impugnación para la sustitución o revisión de la decisión adoptada, pues contra las sentencias del Tribunal Constitucional no cabe recurso alguno” (ATC 102/2020, de 21 de septiembre,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aclaraciones solicitadas, que plantean las mismas cuestiones que las contenidas en los recursos de súplica interpuestos, exceden del objeto de este trámite procesal, por lo que no ha lugar 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petición de aclaración planteada por la representación de don Joaquim Forn i Chiariello se limita a expresar su discrepancia sobre la extemporaneidad apreciada en relación con la inaplicación del art. 135.5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mismo ocurre en los restantes casos, pues utilizan la solicitud de aclaración para disentir sobre el tratamiento de algunos de los motivos de recusación (apartados décimo y décimo cuarto del art. 219 LOPJ); o sobre el momento temporal en que el magistrado recusado firmó, junto con otros cuatrocientos profesores y catedráticos, determinado manifiesto; o para manifestar un supuesto desconocimiento acerca de la composición del Tribunal y la participación en el auto de los distintos magistrados que lo integran, que seguidamente queda desmentido con la mera lectura del contenido de los recursos de súplica, de la que se deduce la correcta comprensión de estos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anterior resulta que no procede efectuar modificación alguna del encabezamiento, de la fundamentación o de la parte dispositiva del ATC 107/2021, de 15 de diciembre, al no concurrir ninguno de los supuestos contemplados en el art. 93.1 LOTC, en relación con el art. 267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Extemporaneidad de las recusaciones promovidas en los recursos de amparo 1638-2020, 3476-2020, 4586-2020, 5840-2020 y 6056-2021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Razonamiento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indicado en los antecedentes, en el recurso de amparo 1638-2020, la representación procesal de don Joaquim Forn i Chiariello interpone subsidiariamente recurso de súplica contra el ATC 107/2021, de 15 de diciembre, al entender que la recusación planteada no es extemporánea pues, conforme al art. 135.5 LEC —en relación con el art. 4 LEC—, se podía presentar el escrito de recusación el día 3 de diciembre de 2021, antes de las 15:00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representación de don Joaquim Torra i Pla recurre el indicado auto cuestionando la inadmisión por extemporaneidad en los recursos de amparo 3476-2020, 4586-2020, 5840-2020 y 6056-2021, al considerar que el cómputo del plazo no se había iniciado cuando se registraron los escritos de recusación, ya que la publicación en el “BOE” del nombramiento de los magistrados no es una resolución notificada, del mismo modo que tampoco se notificó su toma de posesión, que es el momento de su incorporación al Tribunal. Añaden que el auto no argumenta por qué el recurrente conocía o podía conocer con suficiente antelación los hechos en que fundaba la recusación, es decir, las publicaciones o las amistades del magistrado don Enrique Arnaldo Alcubilla o las resoluciones de la magistrada doña Concepción Espejel Jorquera.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Desestimación del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previo conviene advertir que la recusación formulada en el recurso de amparo núm. 6056-2021, no fue inadmitida a trámite por extemporánea [ATC 107/2021, FJ 4 b)], y que la extemporaneidad de las recusaciones apreciada en los demás recursos de amparo, ninguna relevancia ha tenido para los recurrentes al haberse dado respuesta a las causas de recusación planteadas bien por ser las mismas que las promovidas por los otros recusantes —en el caso de don Joaquim Forn i Chiariello—, bien por ser además idénticas a las promovidas en el recurso de amparo 6056-2021 —en el caso de don Joaquim Torra i Pla—.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lo anterior, procede recordar que, tal y como establece el primer párrafo del art. 223.1 LOPJ, “[l]a recusación deberá proponerse tan pronto como se tenga conocimiento de la causa en que se funde, pues, en otro caso, no se admitirá a trámite”. Esta es la regla general, que luego se concreta en los dos supuestos recogidos en los números 1 y 2 de ese precepto. Esa concreción, sin embargo, no debe desconocer el fundamento de esta norma, expresado en el primer párrafo, que presenta un inequívoco significado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exigencia de una actitud proactiva de la parte que propone la recusación está íntimamente vinculada con la necesidad de evitar la posibilidad de utilizar el instrumento de la recusación como un mecanismo intimidatorio que sobrevuele la intervención de un magistrado en la tramitación de un procedimiento, a modo de condicionante de su actuación. Como recordamos en nuestro ATC 180/2013, de 17 de septiembre, FJ 2 f), la regla general plasmada en el primer párrafo del art. 223.1 LOPJ “está inspirada en evitar que la posibilidad de recusación de cualquier juez llegue a convertirse en una suerte de amenaza o presión para el juzgador, erigiéndose en un instrumento que la parte pudiera interesar a su conveniencia, sine die, amparado en la indeterminación —o difícil probanza— del momento de la citada toma de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doctrina de este tribunal sobre el derecho al juez imparcial reconocido en el art. 24.2 CE parte de la base de que la imparcialidad se presume (por todas, STC 91/2021, de 22 de abril, FJ 5.1.1, y la jurisprudencia del Tribunal Europeo de Derechos Humanos allí citada). Este principio se configura como una garantía para el juez o magistrado frente a recusaciones objetivamente infundadas, pero también para todas las partes implicadas en el proceso. Ninguno de los intervinientes debe verse sometido a una permanente incertidumbre en sus legítimas expectativas sobre la apariencia de imparcialidad de quien ha de resolver su causa. El derecho al juez imparcial debe hacerse valer a través del instrumento de la recusación, pero el resto de las partes debe tener la garantía de que cualquier duda sobre esa imparcialidad ha de ser despejada tan pronto como sea posible, precisamente en garantía de ese derecho, y no en función de una mera estrategia procesal de otra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fundamento del art. 223.1 LOPJ ha presidido la interpretación y aplicación de la causa de inadmisión de las peticiones de recusación planteadas en los recursos de amparo 1638-2020, 3476-2020, 4586-2020, 5840-2020. Una interpretación en la que, como es obvio, se ha tenido en cuenta la naturaleza y composición de este tribunal, así como las circunstancias concurrentes en esos procedimientos.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nos encontramos ante unos recursos que han sido avocados al Pleno de este tribunal, cuya composición es pública, notoria e invariable desde el momento en que se produce el nombramiento de los magistrados recusados, publicado en el “BOE” núm. 276, de 18 de noviembre de 2021, fecha que coincidió con su toma de posesión, como también fue público y notorio. La singular naturaleza de este tribunal, ya expuesta en el propio auto ahora impugnado, determina que, a diferencia de lo que ocurre en la jurisdicción ordinaria, la composición del Pleno no pueda estar sujeta a normas de reparto o de atribución de competencia territorial o funcional. Por lo tanto, el inicio del cómputo del plazo previsto en el art. 223.1.1 LOPJ debe realizarse en este caso desde la fecha de publicación del nombramiento de los magistrados recusados (ATC 202/2014, de 22 de julio), al coincidir con la toma de posesión, sin necesidad de que se notifique resolución alguna a tal efecto, porque esa notificación no va a alterar lo que ya se conoce, que es la composición del Pleno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atendida la naturaleza de los motivos de recusación aducidos, no puede inferirse —y, de hecho, ni siquiera se intenta justificar en las recusaciones ni en los recursos de súplica— que el conocimiento de los hechos en que se sustentan fuera posterior a la fecha de publicación del nombramiento de los magistrados recusados. Por ello, debe confirmarse la extemporaneidad apreciada, computada desde la fecha en que se conoció la composición del tribunal, es decir, desde el 18 de noviembre de 2021, a los efectos de lo dispuesto en el art. 223.1.1 LOPJ, sin que haya sido omitida la aplicación del art. 135.5 LEC, finalizando de este modo el plazo para la presentación de las recusaciones a las 15:00 horas del día 2 de diciembre de 2021, y, debiendo considerarse extemporáneos las recusaciones presentadas el día 3 de diciembre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tales razones procede desestimar los recursos de súplica interpuestos frente a la inadmisión por extemporáneas de las recusaciones promovidas en los recursos de amparo 1638-2020, 3476-2020, 4586-2020, 5840-2020.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Recursos de súplica interpuestos por doña Clara Ponsatí i Obiols, don Carles Puigdemont i Casamajó, don Antoni Comín i Oliveres y don Lluís Puig i Gordi en los recursos de amparo 2835-2021, 1212-2021, 972-2021, 2017-2021 y 5513-2020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Consideraciones previas sobre el modo en que se han promovido las recusaciones e interpuesto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carácter previo debemos indicar que la forma de presentación de las solicitudes de recusación mediante escritos de idéntica o muy parecida redacción, en los que se citan numerosos procesos constitucionales de objeto diverso, si bien no está prohibida (ATC 194/2003, de 12 de junio, FJ 4) no diluye, como contrariamente parece desprenderse de la argumentación contenida en los recursos de súplica, la exigencia de cumplimiento por los recusantes de la carga de justificar que la recusación de un magistrado se refiere siempre a un “pleito o causa” individualizado y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apreciación de una pérdida de la imparcialidad objetiva, mediante la invocación de las causas previstas en los apartados décimo y décimo cuarto del art. 219 LOPJ, no se puede llevar a cabo en abstracto (SSTC 11/2000, de 17 de enero, FJ 4 in fine, o 52/2001, de 26 de febrero, FJ 4), sino que es exigible que por los recusantes se especifique, razone y acredite en qué aspecto concreto los magistrados recusados tienen algún interés, directo o indirecto, “en el proceso constitucional” respecto al cual se ha formulado la recusación (ATC 224/2001, de 18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carga procesal, como ya se advirtió en el auto recurrido, no ha sido cumplida en el presente caso por los recusantes (ahora recurrentes). Estos se limitan a relacionar una lista de recursos de amparo, de objetos dispares —y en los que, incluso, en alguno ni tan siquiera son parte— desconociendo que la recusación se refiere a un concreto “pleito o causa”. Al propio tiempo proceden a sustentar buena parte de las recusaciones sobre un entendimiento del concepto jurídico “amistad íntima” (art. 219.9 LOPJ), que aparece desconectado del objeto del proceso, y del que pretenden servirse, a su vez, para fundamentar la genérica invocación de varios motivos de recusación (art. 219, apartados décimo y décimo cuarto,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confusa técnica procesal se proyecta sobre los nueve recursos de súplica cuya redacción es idéntica, con la salvedad de que en los recursos de amparo 3476-2020, 4586-2020, 5840-2020 y 6056-2021, se añade un razonamiento que cuestiona la extemporaneidad apreciada en las recusaciones promovidas por la representación de don Joaquim Torra i Pla, pretensión ya desestimada en el fundamento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precisión adicional es necesaria. A través de su recurso de súplica los recurrentes insisten de nuevo en proponer un tratamiento individualizado de cada uno de los motivos de recusación planteados en relación con dos magistrados y una magistrada.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propuesta orilla voluntaria o involuntariamente el núcleo fundamental del razonamiento que ha llevado al Pleno de este Tribunal a adoptar la triple decisión que cuestionan, según la cual: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Las diversas pretensiones de recusación planteadas han de ser analizadas de forma conjunta en una resolución única.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Para su análisis, el Pleno debe quedar integrado con todos sus magistrados presentes, haya sido aceptada previamente su abstención o hayan sido recusados; y, en fin, como expresamos en el fundamento jurídico 3, in fine,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La salvaguarda del ejercicio de la jurisdicción constitucional reclama, y justifica al mismo tiempo que, para pronunciarse sobre las múltiples y sucesivas peticiones de abstención y/o recusación formuladas no solo no deba excluirse de la conformación del Pleno a ninguno de sus magistrados presentes, sino que “las recusaciones deban inadmitirse de plano por comportar un uso abusivo del ejercicio de esa facultad por parte de los recurrentes, tendente a impedir el normal ejercicio de su jurisdicción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triple conclusión, como in extenso se expresa en los fundamentos jurídicos 2 y 3 de la resolución recurrida, atiende a razones que tienen que ver con la naturaleza de órgano constitucional único en su orden de este tribunal (art. 1.2 LOTC), cuyos magistrados —designados por el Congreso y el Senado, por el Gobierno y el Consejo General del Poder Judicial—, no pueden, en ningún caso, ser sustituidos en el ejercicio de sus funciones en caso de ser recusados. No pueden serlo para tramitar dicha pretensión, ni tampoco para resolver los procesos constitucionales en los que se plantea, en el caso de ser estimada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al número de magistrados cuya exclusión se pretende, tal imposibilidad de sustitución impone en determinadas situaciones —como la presente— modulación de la previsión establecida en el art. 227 LOPJ, de forma que quienes hayan sido recusados o cuya abstención haya sido aceptada puedan formar parte del órgano que haya de decidir sobre tales propuestas de recusación. Solo así, dijimos entonces, puede alcanzarse el quorum exigido por el art. 14 LOTC para que este tribunal pueda ejercer su jurisdicción. Dicha solución, adoptada ya en el incidente que dio lugar al ATC 443/2007, de 27 de noviembre, constituye una exigencia que deriva del art. 4.1 LOTC pues, para preservar el ámbito de su jurisdicción —en cualquiera de sus manifestaciones, también en la de amparo— es preciso evitar su paralización cuando se propone impedir la formación del mínimo legal exigido para adoptar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auténtica regla de necesidad se hace patente cuando, como en este caso, a través de sucesivas pretensiones de recusación, quien acude en demanda de amparo al Tribunal Constitucional propone al mismo tiempo que del colegio de magistrados sean apartados todos ellos, o un número tal de sus integrantes, lo que aboca al bloqueo de esta institución e impediría la resolución de las pretensiones que ante él se ejercitan.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otra manera, como el fiscal ante el Tribunal Constitucional expresa con precisión en sus alegaciones, que fundamentan sólidamente su pretensión desestimatoria, el problema capital que plantearon las recusaciones formuladas en este y en el resto de procedimientos que se reseñan en el auto impugnado es que, si la regla de exclusión de los magistrados recusados produce el efecto objetivo de dejar al Pleno del Tribunal por debajo del quorum previsto en el artículo 14 LOTC, sea para conocer de la propia recusación, o sea —con mayor motivo— para, apreciada esta, abordar el enjuiciamiento de fondo de los recursos de amparo en los que se ha presentado, el ejercicio de su jurisdicción deviene imposible, y la consecuencia no es que resulte inviable el enjuiciamiento por un tribunal imparcial; es que resulta impracticable el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Evitar dicho indeseable efecto justificó el análisis conjunto de las treinta y tres recusaciones planteadas por el total de los magistrados presentes que integran este tribunal, lo que, a su vez, llevó a apreciar que las mismas comportaban un uso abusivo del ejercicio de esa facultad por parte de los recurrentes, tendente a impedir el normal ejercicio de su jurisdicción por este tribunal, por lo que, en defensa de la jurisdicción del Tribunal, debían ser inadmitidas a limine y no tramitadas.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esta decisión, que justifica por sí sola la decisión de inadmisión cuestionada, apreciamos entonces que, de forma independiente y concurrente, se llegaría a la misma conclusión de inadmisión a limine de las recusaciones mediante el examen de fondo de las concretas causas alegadas, el cual, ad abundantiam, se realiza en el fundamento jurídico 4 del auto recurrido ya sin la participación de los recusados.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este el sentido y la justificación de la decisión de inadmisión adoptada, abordaremos a continuación las diversas alegaciones a través de las que los recurrentes afirman que el ATC 107/2021 no es una resolución fundada en Derecho, les ha privado indebidamente de su derecho al procedimiento de recusación y ha sido dictada por un tribunal que, por su composición, no puede considerarse independiente e imparcial.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Sobre la omisión de respuesta a las recusaciones del presidente del Tribunal Constitucional y del magistrado don Enrique Arnaldo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deficitaria técnica procesal expuesta, ha supuesto que las recusaciones se presenten de modo genérico, sin precisar, argumentar o justificar, en primer lugar, en qué aspecto concreto la amistad invocada trasluce algún interés del presidente del Tribunal en el “pleito o causa” (art. 219.10 LOPJ). Ni se alega, ni se vislumbra qué posible beneficio podría obtener o de qué posible carga o gravamen podría verse liberado en función del resultado de la recusación del magistrado don Enrique Arnaldo Alcubilla o del recurso de amparo. Más bien, lo que parece desprenderse de las pretensiones formuladas es que cualquier relación personal o profesional, incluso muy estrecha, entre los magistrados del Tribunal impide a cualquiera de ellos ejercer su labor conforme a Derecho, asumiendo acríticamente las posturas de sus colegas sobre la base de una distorsionada concepción de una amistad mal entendida. Como señalamos en nuestra STC 91/2021, de 22 de abril, FJ 5.5.3 a), la tesis de los recurrentes “supondría, en definitiva, una presunción de falta de profesionalidad basada en percepciones subjetivas o impresiones personales incompatibles con el rigor y objetividad exigibles en el planteamiento de una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en relación con el magistrado don Enrique Arnaldo Alcubilla, el auto impugnado rechaza expresamente las causas de recusación previstas en el apartado noveno [FJ 4 a) y c)] y en el apartado décimo [FJ 4 d)], y de su lectura puede inferirse razonablemente la inadmisión de la causa de recusación prevista en art. 219.14 LOPJ —que afectaría, en su caso, exclusivamente a dos de los nueve recursos de amparo—. El ATC 107/2021 señala expresamente que “los motivos de recusación han de subsumirse necesariamente en algunos de aquellos supuestos que la ley define como tales”, a lo que añade que no resultan amparadas las recusaciones “que se sustentan en meras afirmaciones de imposible encaje en un motivo de recusación y huérfanas de todo sustento en hechos concretos […] [o] que se apoyan en la mera invocación de una causa legal carente de cualquier vínculo con los hechos que se narran para darle sustento” [ATC 107/2021,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motivo debe ser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Composición del Tribunal Constitucional para decidir las recusaciones y la posibilidad de su inadmisión a limine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Cuestionan los recurrentes la participación de los magistrados recusados y abstenidos en la decisión sobre las recusaciones planteadas, incluso proponen la posibilidad de interpretaciones distintas del art. 14 LOTC, considerando contraria a la tutela judicial efectiva la inadmisión a limine de las recusaciones.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Para dar respuesta a esta impugnación hemos de partir, indefectiblemente, de lo que afirmamos en el ATC 107/2021, de 15 de diciembre y, de modo más concreto, de lo argumentado en el FJ 2, que sirve ahora de fundamento para responder a las diferentes objeciones que, sobre la composición del tribunal, han planteado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fundamento jurídico 2 se dice que “[l]a especial naturaleza de este tribunal viene determinada por su singular configuración dentro del entramado institucional definido por la propia Constitución Española y por la Ley Orgánica del Tribunal Constitucional (LOTC). Se trata de un órgano ‘único en su orden’ (art. 1.2 LOTC), a quien se atribuye en exclusiva un ámbito funcional que le coloca en una posición desde la que puede ejercer un control real y efectivo sobre la actuación desplegada por los tres poderes del Estado”. De tal manera que “[e]l eventual ejercicio de estas potestades […], justifica que, en lógica coherencia, sus miembros ostenten la necesaria legitimidad de origen que, en este caso, está vinculada a la intervención de esos tres poderes”.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en el citado fundamento jurídico 2 se afirma que “[e]ste rasgo distintivo del tribunal se proyecta sobre los magistrados que lo integran. La naturaleza de las competencias atribuidas a este órgano determina la diversidad de planteamientos jurídicos sobre la interpretación de los preceptos constitucionales que, en su caso, puedan acontecer. Como señala el ATC 180/2013, de 17 de septiembre, FJ 3, la ‘inevitable incidencia en la interpretación jurídica de las particulares concepciones del Derecho y visiones del mundo de cada magistrado se refleja en la necesaria pluralidad de perspectivas jurídicas que confluyen en las deliberaciones y decisiones del tribunal como órgano colegiado por excelencia’. Esa heterogeneidad de posiciones guarda una estrecha correspondencia con el pluralismo político que, como valor superior del ordenamiento jurídico (art. 1.1 CE), permite diversas formas de organización de la comunidad. Una diversidad que se plasma en disposiciones normativas de distinto rango, susceptibles de distintas interpretaciones jurídicas en las que inevitablemente influyen elementos conceptualmente ideológicos, todos ellos dentro del amplio espacio diseñado por 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pluralidad de perspectivas que integran la magistratura constitucional, seguíamos declarando, “se convierte, así, en una seña de su propia identidad, por lo que no puede suponer, sin más, la incompatibilidad para el ejercicio de sus funciones, mediante una genérica causa de recusación que ponga en tela de juicio su imparcialidad. Por ello, ‘[l]as diversas circunstancias que definen la personalidad de cada uno de los magistrados y conforman su trayectoria personal no pueden considerarse sin más condicionamientos negativos que afecten a su imparcialidad, pues la imparcialidad que exige el art. 22 LOTC no equivale a un mandato de neutralidad general o a una exigencia de aislamiento social y político casi imposible de cumplir en cualesquiera profesionales, también en los juristas de reconocida competencia’ (ATC 180/2013, de 17 de septiembre, FJ 3)”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concluíamos aquel planteamiento inicial destacando que “[d]e hecho, el perfil ideológico y jurídicamente heterogéneo es lo que contribuye a conformar el tribunal, y determina la designación de sus miembros. Va en la propia naturaleza de las cosas que un magistrado del Tribunal Constitucional haya sido designado precisamente por sus ideas y opiniones expresadas a través de los instrumentos habituales de difusión jurídica, que conforman su trayectoria profesional y que, por lo tanto, delimitan los principios de mérito y capacidad que le habilitan para el ejercicio de sus funciones”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hasta ahora dicho, es posible deducir dos consecuencias: de una parte, que el planteamiento de una recusación y su eventual estimación afecta a la composición funcional (quorum) del Tribunal, dado el carácter de insustituibles de los magistrados que lo conforman; pero, de otro lado, también incide sobre la propia configuración constitucional del mismo, en la medida en que la estimación de eventuales causas de recusación puede alterar “el perfil ideológico y jurídicamente heterogéneo” de sus miembros, lo que, de alguna manera, puede llegar a desvirtuar el propio diseño constitucional de este órgano. De ahí que, a la hora de enjuiciar las causas de recusación alegadas por las partes del proceso, deban tenerse en cuenta ambos aspectos, correspondiendo a este tribunal realizar una contenida valoración de los presupuestos de hecho alegados y de las causas invocadas, para llegar a una decisión sobre su concurrencia, que, necesariamente, debe guiarse por criterios restrictivos.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partir de las anteriores consideraciones, debemos ahora analizar las cuestiones suscitadas en los diferentes recursos de súplica interpuestos sobre la inadmisión a limine de las recusaciones acordada por el auto impugnado, que guardan relación con la preservación de la composición del Tribunal y la inclusión de los magistrados anteriormente abstenidos en los recursos de amparo formalizados contra la STS 459/2019, de 14 de octubre, y sus incidencias, así como de los ahora recusados.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ello, debemos remitirnos a las razones esgrimidas por el auto impugnado, que han sido resumidas en el apartado anterior y que, puestas en relación con los argumentos de los recursos interpuestos, nos llevan a la siguiente conclusión: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Debe insistirse, frente a lo afirmado en los recursos, que la decisión de inadmisión a limine de las recusaciones se encuentra asentada en la doctrina de este tribunal, desde luego cuando incurran en defectuoso planteamiento procesal (ATC 383/2006, de 2 de noviembre, FJ 2, y 394/2006, de 7 de noviembre, FJ 2), pero también en atención a las circunstancias que las circundan, de su planteamiento y de las argumentaciones de los recusantes, de acuerdo con el art. 11.2 LOPJ (AATC 394/2006, de 7 de noviembre, FJ 2; 454/2006, de 12 de diciembre, FJ 3, y 177/2007, de 7 de marzo, FJ 1. También, en el ATC 107/2021,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Debemos añadir a lo anterior que, como señalan los AATC 84/2020 y 85/2020, de 21 de julio, FJ 2, y 86/2021, de 16 de septiembre, FJ 3, es acorde con el art. 6 del Convenio europeo para la protección de los derechos humanos y de las libertades fundamentales, que “las mociones de parcialidad no deben ser capaces de paralizar el sistema jurídico del Estado demandado. Este aspecto reviste especial importancia cuando se trata de tribunales de última instancia” (STEDH de 9 de julio de 2015, asunto A.K. c. Liechtenstein, § 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premisa se intensifica en nuestro caso, en el que, como hemos declarado supra, la singular naturaleza del Tribunal Constitucional, en los términos antedichos, debe ser tenida en cuenta a la hora de valorar los presupuestos de hecho invocados por las partes para fundamentar sus alegadas causas de recusación y llegar a una decisión sobre 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Las recusaciones formuladas “se sustentan en meras afirmaciones de imposible encaje en un motivo de recusación y huérfanas de todo sustento en hechos concretos” [FJ 4 c)]; conclusión a la que se llega en una argumentación que se desarrolla en los FFJJ 3 y 4 del ATC 107/2021 y a la que ahora nos remitimos.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si los motivos de recusación invocados se apoyan en “meras afirmaciones” que, como se destaca en el auto impugnado, están “huérfanas de todo sustento en hechos concretos”, y no se aporta un principio de prueba del que se pueda derivar una duda objetiva y razonable sobre las causas de recusación invocadas, la decisión de inadmisión a limine puede ser adoptada por todos los componentes del Tribunal, sin incurrir en vicio de parcialidad, porque se trata de un rechazo basado en alguno de los supuestos previstos en el art. 11.2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lo que respecta al argumento de que, para la válida constitución del Pleno del Tribunal, no era precisa la concurrencia de los magistrados abstenidos y de los recusados o que, al menos, no se requería que estos últimos pasaran a formar parte del Tribunal que tuviera que decidir sobre su recusación, resultan igualmente aplicables las argumentaciones expuestas sobre la especial naturaleza de este Tribunal y sobre el tipo de decisión adoptada, de rechazar a limine las causas de recusación. Se trata de una decisión con la que se preserva la integridad de la jurisdicción constitucional, a la que están llamados naturalmente todos los componentes de este Tribunal, y que se adopta con carácter previo a la valoración, en su caso, sobre las cuestiones de fondo planteadas.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debemos dar respuesta a la cuestión suscitada en los recursos sobre la interpretación de lo dispuesto en el art. 14 LOTC, en relación con el quorum necesario para adoptar acuerdos, y la exigencia de que estén presentes, “al menos, dos tercios de los miembros que en cada momento lo compongan”.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que alegan los recurrentes, la literalidad del art. 14 LOTC es clara. La composición del Pleno del Tribunal en el momento de tomar la decisión recurrida —y también actualmente— es de público conocimiento (Reales Decretos 421/2013, 423/2013 y 424/2013, de 12 de junio, 589/2014, de 8 de julio; 260/2017, 261/2017, 262/2017 y 263/2017, de 10 de marzo; 1033/2021, 1034/2021, 1035/2021 y 1036/2021, de 17 de noviembre), por lo que el quorum de presencia que resulta del art. 14 LOTC es de ocho magistrados, toda vez que el colegio de magistrados, al tiempo de dictar la resolución, era de doce.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recordar que la abstención de dos de sus magistrados aceptada por el Pleno [ATC 107/2021, FJ 3 A) a)], unida a la decisión de recusar al presidente del Tribunal Constitucional para intervenir en nueve de las doce recusaciones promovidas [ATC 107/2021, FJ 3 A) b)] y de recusar al magistrado don Enrique Arnaldo Alcubilla y la magistrada doña Concepción Espejel Jorquera, determinaba que la recusación planteada afectara a una relación de magistrados de los que componen el Tribunal, que reducía “el número de los no recusados ni abstenidos hasta el extremo de imposibilitar la constitución del Pleno con el quorum exigido por la ley para decidir sobre las recusaciones planteadas (art. 14 LOTC)” [ATC 107/2021, FJ 3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situación, unida al planteamiento conjunto de todas las recusaciones, a la coincidencia de los motivos de recusación alegados, imposibilitaba la adopción de decisiones fraccionadas, dado el carácter inescindible de la decisión que pudiera adoptarse. Por ello, la inexistencia de quorum hizo imprescindible “para asegurar la propia funcionalidad del órgano constitucional” [ATC 107/2021, FJ 3 B)] y mantener la integridad de la jurisdicción constitucional, la conformación del Pleno del Tribunal con los magistrados recusados y abstenidos, sin lesión con ello del derecho fundamental al juez imparcial, (ATC 443/2007, de 27 de noviembre, FJ 3), cuya doctrina no justifica matices —ni estos se aportan por los recurrentes— en función de la distinta naturaleza del proceso constitucional en la que se aplique.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anticipamos, el análisis conjunto de todas las recusaciones presentadas ha de tomar en consideración también la previa abstención de los señores Narváez Rodríguez y Conde-Pumpido Tourón, ya aceptada en los AATC 17/2021, de 16 de febrero, y 48/2021, de 21 de abril. Esta circunstancia era plenamente conocida por los recurrentes, lo que permite apreciar que las recusaciones constituían un uso abusivo del ejercicio de esta facultad, pues bajo el anunciado propósito de garantizar la imparcialidad de este tribunal se dirigían a paralizar e impedir de facto que pudiera ejercer normalmente su jurisdicción apartando a cinco de sus componentes, lo que impediría la resolución de los recursos de amparo pendientes de resolución en los que la recusación se ha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actuación procesal ha de ser consideraba objetivamente abusiva, en los términos en que el Tribunal Europeo de Derechos Humanos se pronuncia en la decisión de inadmisión de 21 de septiembre de 2021, adoptada en el asunto Zambrano c. Francia (pár. 33 a 38) pues, como allí, no se dirige a ver resuelta la pretensión de amparo formulada en cada caso en relación con los procesos judiciales previos a los que afecta, sino más directamente, a la paralización del funcionamiento del Tribunal Constitucional, objetivo este que justifica la inadmisión a limine que se combate.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 la inadmisión de las causas de recusación promovidas en relación con los magistrados don Enrique Arnaldo Alcubilla, doña Concepción Espejel Jorquera y el presidente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debe indicarse que los recurrentes utilizan el recurso para insistir en las causas de recusación invocadas, que fueron inadmitidas por el ATC 107/2021, a cuyos razonamientos y a lo expuesto en el presente auto [FJ 4 b)] debemos remitirnos, al no quedar desvirtuados por los argumentos contenidos en los recursos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tales razonamientos procede ahora añadir dos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en el encabezamiento de todos los idénticos incidentes de recusación promovidos por doña Clara Ponsatí i Obiols, don Carles Puigdemont i Casamajó, don Antoni Comín i Oliveres, don Lluís Puig i Gordi, y de todos los recursos de súplica interpuestos por los citados, se señala que los recursos de amparo, de los que traen causa las recusaciones, se han interpuesto “por cualquiera de los recusantes contra resoluciones judiciales dimanantes de la causa especial núm. 20907-2017 seguida ante la Sala Segunda del Tribunal Supremo” o “contra distintos acuerdos de la Junta Electoral Central, igualmente relacionados de forma directa con las consecuencias de la causa especial núm. 20907-2017 seguida ante la Sala Segunda del Tribunal Supremo”. E, incluso, en todos los incidentes de recusación promovidos se indica de modo concreto que mediante el referido “manifiesto” se “llegó a pedir” “que cayera ‘todo el peso de la ley’ sobre los recusantes como consecuencia de los hechos que dieron lugar a la […] causa especial núm. 20907-2017 seguida ante la Sala de lo Penal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basta una mera lectura de los antecedentes primero a tercero de la STS 459/2019, de 14 de octubre, dictada en la referida causa especial núm. 20907-2017, para advertir que la querella formulada por el fiscal general del Estado que dio origen a la misma fue registrada en el Tribunal Supremo el 30 de octubre de 2017 y admitida por auto de la Sala Segunda del Tribunal Supremo de 31 de octubre de 2017. Tales extremos, por razones obvias, no pueden ser desconocidos por los recusantes y, desde luego, evidencian que el aludido manifiesto, firmado el 17 de septiembre de 2017, fue realizado con anterioridad al inicio de la causa especial en el que se dictaron “las resoluciones judiciales” o que llevaron como consecuencia, en los términos utilizados en las seis recusaciones y en los nueve recursos de súplica, “distintos acuerdos de la Junta Electoral Central, igualmente relacionados de forma directa” con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en relación con los recursos de súplica interpuestos por don Joaquim Torra i Pla debe indicarse que las diligencias previas núm. 2-2019, que dieron lugar a la sentencia dictada por la Sala Civil y Penal del Tribunal Superior de Justicia núm. 149/2019, de 19 de diciembre, fueron iniciadas a instancia de querella del fiscal superior de justicia de Cataluña, no del fiscal general del Estado, y fueron admitidas por auto del mismo tribunal de 1 de abril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por ello que no podemos compartir los reproches de “ligereza”, o “desconocimiento” con los que los recurrentes se dirigen a este tribunal, tanto en los escritos de aclaración como en los recursos súplica. Y es por ello también que el argumento contenido en el FJ 4 d) del ATC 107/2021, cuando indica que “debe añadirse que las opiniones vertidas en un periódico o la firma del manifiesto aludido se produjeron aproximadamente cinco años antes de adquirir la condición de magistrado, sin que tan siquiera se hubiera iniciado proceso penal alguno contra cualesquiera de los recusantes ante la jurisdicción ordinaria, y, lo que se reclamaba era el cumplimiento de los pronunciamientos del Tribunal Constitucional, de la Constitución y del Estatuto de Autonomía”, debe ser mantenido en sus propios términos.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las solicitudes de aclaración y los recursos de súplica promovidos por doña Clara Ponsatí i Obiols, don Carles Puigdemont i Casamajó, don Antoni Comín i Oliveres, don Lluís Puig i Gordi, don Joaquim Torra i Pla y don Joaquim Forn i Chiariello frente al ATC 107/2021, de 15 de diciembre, en los recursos de amparo núms. 1638-2020, 2835-2021, 1212-2021, 972-2021, 2017-2021, 5513-2020, 3476-2020, 4586-2020, 5840-2020 y 6056-2021.</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Déjese el original de la presente resolución en el primero de ellos y llévese testimonio a los demás.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