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30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3650-2021, promovido por don Mohamed Achraf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enero de 2022, don Mohamed Achraf, representado por la procuradora de los tribunales doña María del Pilar Vega Valdesueiro, bajo la dirección del letrado don Saúl Rosell Manglano, interpuso recurso de amparo contra el auto núm. 317/2021, de 29 de abril, dictado por la Sección Primera de la Sala de lo Penal de la Audiencia Nacional, que desestimó el recurso de apelación núm. 270-2021, interpuesto contra el auto de 6 de octubre de 2020, dictado por el Juzgado Central de Vigilancia Penitenciaria en el procedimiento de peticiones y quejas núm. 387-2005-146, RAP 102-21, que desestimó la queja del ahora demandante de amparo, interno en el centro penitenciario Málaga II, que formuló por no haberle facilitado determinados efectos que solicitó,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22 de abril de 2022, la magistrada doña Concepción Espejel Jorquera comunicó su voluntad de abstenerse en el conocimiento del presente recurso de amparo por entender que concurría la causa undécima del art. 219 de la Ley Orgánica del Poder Judicial (LOPJ), por haber formado parte, en su condición de presidenta de la Sección Primera de la Sala de lo Penal de la Audiencia Nacional, del órgano judicial que dictó el auto núm. 317/2021, de 29 de abril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3650-2021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