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16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Ramón Sáez Valcárcel, en el recurso de amparo núm. 4029-2021, promovido por don José Santacana Blanch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junio de 2021, don José Santacana Blanch, representado por la procuradora de los tribunales doña Paloma Manglano Thovar, bajo la dirección de la letrada doña Isabel Winkels Arce, interpuso demanda de amparo contra la sentencia de la Sección Decimosegunda de la Audiencia Provincial de Barcelona de 30 de marzo de 2021, que resuelve el recurso de apelación núm. 719-2019, interpuesto contra la sentencia dictada por el Juzgado de Primera Instancia e Instrucción núm. 2 de Esplugues de Llobregat en el procedimiento de divorcio contencioso núm. 70-2018, y contra la providencia de 14 de mayo de 2021, de la misma Audiencia Provincial, que inadmite el incidente de nulidad promovido frente a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15 de junio de 2022, el magistrado don Enrique Arnaldo Alcubilla comunicó a los efectos oportunos su voluntad de abstenerse de intervenir en el conocimiento del recurso de amparo núm. 4029-2021 y todas sus incidencias, de conformidad con el art. 80 de la Ley Orgánica del Tribunal Constitucional (LOTC) y el art. 217 de la Ley Orgánica del Poder Judicial (LOPJ), al entender que concurre en su persona la causa establecida en el art. 219.9 LOPJ, por amistad íntima con la abogada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la relación de amistad que le une con la abogada de la parte demandante en el recurso de amparo núm. 4029-2021, se halla incurso en la causa novena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4029-2021,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