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874-2021, promovido por doña Guiomar Gazeau García en pleito civil, en relación con el ATC 103/2021, de 13 de diciembre,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874-2021, promovido por doña Guiomar Gazeau García, ha recaído el ATC 103/2021, de 13 de diciembre, por el que se deniega la suspensión solicitada y se ordena la anotación preventiva de la demanda de amparo. El auto acordó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Primera Instancia núm. 9 de Barcelona acordó por diligencia de ordenación de 22 de diciembre de 2021, practicar anotación preventiva de la demanda de amparo en el registro de la propiedad de Torredembarra.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ejecutada recurrió en reposición la anterior diligencia, al no haberse tenido en cuenta que se había embargado otro inmueble inscrito en el registro de la propiedad de Barcelona. Por decreto de 21 de abril de 2022 se estimó el recurso, acordando la anotación preventiva también en el registro de la propiedad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Este decreto fue recurrido en revisión por el ejecutante. El Juzgado de Primera Instancia núm. 9 de Barcelona dictó auto el 1 de junio de 2022 desestimando el recurso, al considerar que de la lectura del auto del Tribunal Constitucional resulta que la medida cautelar solicitada por la ejecutada se refería a ambas fincas, como se deduce de su antecedente sexto; y del antecedente séptimo se deriva que el Ministerio Fiscal, tras oponerse a la medida solicitó alternativamente su sustitución por “la anotación preventiva de la demanda de amparo en el Registro de la Propiedad”, siendo esta la medida acordada, tal y como se refleja en el fundamento cuarto. Y así, razona el Juzgado, “(n)ada se advierte por tanto del contenido de la resolución que afirme, implique o permita deducir que la medida adoptada se refiere únicamente a una sola de las fincas embargadas, y es en tal sentido que se entiende que ha de interpretarse la parte dispositiva del auto, aun cuando el mismo se refiera en singular a ‘el inmueble’. Y ello, evidentemente, sin perjuicio de lo que corresponda acordar en caso de que por el propio Tribunal Constitucional se aclarase en su caso la resolución en sentido opuesto a cuanto ahora se concluye”.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9 de junio de 2022, la parte ejecutante solicita la aclaración del auto de 13 de diciembre de 2021 o, en su caso, el complemento del mismo, por la que se determine la medida cautelar adoptada, en razón del principio de justicia rogada, ha quedado circunscrita exclusivamente a la finca inscrita en el registro de la propiedad de Torredembarra, y se ordene al tribunal a quo que ajuste su resolución a lo dispuesto por el Tribunal Constitucional. Recuerda que, al solicitar la suspensión, la demandante de amparo se refirió únicamente al embargo trabado sobre esta finca. Entiende que lo contrario llevaría a una extralimitación por parte del juzgado respecto de una resolución dictada por el Tribunal Constitucional con clara vulneración del principio de justicia rogada.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permite a las partes solicitar la aclaración de sus sentencias, precepto que se ha extendido al resto de resoluciones que este Tribunal Constitucional tiene competencia para dictar (AATC 120/2019, de 21 de octubre, FJ 1; 159/2020, de 14 de diciembre, FJ 1, y 17/2022, de 25 de enero, FJ 2). Este tribunal ha declarado de forma reiterada que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128/2017, de 22 de septiembre, FJ único, y 171/2017, de 18 de diciembre, FJ único)” (ATC 78/2022, de 9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ejecutante ha solicitado ante este tribunal la aclaración del auto de 13 de diciembre de 2021 en los términos expuestos en los antecedentes de esta resolución. Pues bien, procede aclarar la parte dispositiva del ATC 103/2021, de 13 de diciembre, en los términos que seguidamente se reseñan.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el fallo del auto se refería a la anotación preventiva de la demanda de amparo “en relación con el inmueble a que se refieren las presentes actuaciones”. Aun cuando se hiciera uso de la expresión “inmueble” en singular, del propio contenido del auto se desprende que, trabado inicialmente el embargo sobre una finca, se mejoró el embargo posteriormente, trabando la mitad indivisa de otra finca, pues así se puso de manifiesto por la recurrente en sus alegaciones, en las que se ratificaba en la suspensión, y, por tanto, la anotación preventiva acordada por este tribunal en lugar de aquella suspensión lógicamente alcanzará a uno y otro inmueble, pues a ambos “se refieren las presentes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Ha lugar a la aclaración o complemento solicitados en el sentido que se expone en el fundamento jurídico 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