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6392-2021, promovido por don Rafael Casqueiro Álvarez contra la sentencia núm. 2/2021, de fecha 12 de julio, pronunciada por la Sala de Conflictos de Jurisdicción del Tribunal Supremo en el conflicto A39-1-2021,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7 de octubre de 2021, don Rafael Casqueiro Álvarez, representado por la procuradora de tribunales doña Sonia María Casqueiro Álvarez y asistido del letrado don Gregorio Arroyo Hernansanz, formuló recurso de amparo contra la resolución arriba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sobre la medida cautelar solicitada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Según consta en los antecedentes recogidos en la sentencia impugnada, los hechos que dan origen a las actuaciones penales de las que trajo causa el conflicto de jurisdicción al que se hará mención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años 2012, 2013 y 2014, concretamente en el último trimestre de cada uno de ellos, diversos militares del Ejército de Tierra destinados en la Brigada Almogávares VI de Paracaidistas —en lo sucesivo, BRIPAC— solicitaron créditos extraordinarios para determinados servicios de transporte de tropas de dicha unidad que, en tales fechas, resultaban innecesarios.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diversos responsables y empleados de empresas pertenecientes al grupo Monbus —entidad dedicada al transporte por autobús— se emitieron facturas presuntamente falsas por servicios de transporte no realizados y que, posteriormente, se prestaban en el ejercicio siguiente. Para justificar internamente la prestación de dichos servicios —realmente inexistentes— en los ejercicios de concesión de aquellos créditos extraordinarios, se emitieron diversas certificaciones por personal militar en las que se hacía referencia a la realización de aquellos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créditos extraordinarios recibidos a finales de aquellos tres años, por la sección de asuntos económicos de la BRIPAC se instrumentalizaron y formalizaron una serie de contratos menores por ‘servicios ficticios a futuro’, con el objeto de generar una ‘bolsa de dinero’, cuyo remanente era posteriormente aplicado a pagar los servicios de transporte que se realizaban sin utilizar el procedimiento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generación de la referida ‘bolsa de dinero’ en la BRIPAC no solo se llevó a efecto mediante la suscripción de los referidos contratos menores, sino, también, con cargo a los créditos ordinarios, al solicitar peticiones de transporte ficticias o por importe superior a su coste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forma, de los hechos investigados se deduce que por algunos de los militares implicados podrían haberse llevado a cabo actuaciones para alterar la regular adjudicación de contratos públicos de transporte en favor de la UTE Monbus-ALSA, así como que podían haberse aceptado diversos regalos, comidas y dinero de responsables de la entidad Monbus”.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 una deducción de testimonio de otro procedimiento, por esos hechos el Juzgado de Instrucción núm.1 de Lugo incoó las diligencias previas núm. 1256-2019. No obstante, dicho órgano se inhibió a favor de los juzgados de Madrid, correspondiendo el conocimiento de la causa al Juzgado de Instrucción número 42 de esa capital, quien procedió a la incoación de las diligencias previas núm. 2778-2019.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Según se refleja en los antecedentes de la sentencia recurrida en esta sede, por auto de 24 de febrero de 2020, el Juzgado de Instrucción núm. 42 de Madrid “acordó la inhibición a favor de la jurisdicción militar del conocimiento de los presuntos delitos contra la hacienda militar y de cohecho cometidos por los investigados que tenían condición militar, manteniendo la competencia para conocer de los delitos de falsedad documental relacionados con los delitos contra la hacienda militar, así como de los tipificados en los artículos 418 —infidelidad en la custodia de documentos y violación de secretos— y 424 —cohecho— del Código penal, cometidos por los investigados que carecían de aquella condición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fecha 14 de diciembre de 2020, el Juzgado Togado Militar Central núm.1 aceptó la inhibición acordada respecto del personal militar, pero “acordó requerir de inhibición al referido juzgado en lo que atañe al conocimiento de los hechos atribuidos a los civiles, por considerar que la competencia había de corresponder, igualmente, a la jurisdicción militar”. Por auto de 10 de febrero de 2021, el Juzgado de Instrucción núm. 42 de Madrid rechazó el requerimiento efectuado y, al amparo de lo dispuesto en art. 26 de la Ley Orgánica 2/1987, de 18 de mayo, de conflictos jurisdiccionales (en adelante, LOCJ), planteó conflicto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la sustanciación del procedimiento, por sentencia 2/2021, de 12 de julio, la Sala de Conflictos de Jurisdicción dispuso “[r]esolver el conflicto de jurisdicción suscitado entre el Juzgado Togado Militar Central núm. 1 (diligencias previas 1-1-2020) y el Juzgado de Instrucción núm. 42 de Madrid (diligencias previas 2778-2019), a favor de la jurisdicción militar, atribuyendo el conocimiento de las actuaciones, como competente para ello, al Juzgado Togado Militar Central núm. 1”. En esencia, las razones por las que se adopta esta decisión quedan reflejadas en los párrafos del fundamento jurídico quinto que a continuación se reproducen: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ahora se plantea por primera vez el conflicto sobre la atribución de competencia cuando concurren en relación de conexidad medial diversos delitos militares cometidos por militares y diversos delitos comunes cometidos por civiles, siendo que aquellos tienen señalada legalmente pena más grave. En definitiva, se trata de delimitar si la norma especial contemplada en el artículo 14.1 LOCOJM [Ley Orgánica de la competencia y organización de la jurisdicción militar] puede alcanzar a los delitos comunes conexos cometidos por no militares. Pues bien, se entiende que en este caso procede atribuir el conocimiento del asunto a los órganos de la jurisdicción militar, y en concreto al Juzgado Togado Militar Central núm. 1, por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 cierto que el conocimiento de la jurisdicción militar —conforme a la previsión constitucional y legal contemplada en los artículos 117.5 CE y 3.2 LOPJ— se limita al ámbito de lo ‘estrictamente castrense’, concepto jurídico indeterminado que se ha ido perfilando a través de una pluralidad de resoluciones que parten, esencialmente, de la STC 60/1991, de 14 de marzo, en la que se especifica que el alcance del conocimiento de la jurisdicción militar en materia penal y en tiempo de paz está delimitado: por la naturaleza del delito cometido —delitos estrictamente castrenses—; por el bien jurídico o los intereses protegidos por la norma —que han de ser estrictamente militares—; por el carácter militar de las obligaciones o deberes cuyo incumplimiento se tipifica; y, en general, por la condición de militar del sujeto al que se imputa 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estas consideraciones generales se desprende que la delimitación del concepto de lo ‘estrictamente castrense’ se ha de hacer a través de tres criterios: el primero, objetivo —determinado por el carácter militar del delito—; el segundo, funcional o instrumental —delimitado por los bienes, principios o valores militares protegidos por la norma—; y el tercero subjetivo —configurado por la condición de militar del sujeto activo del delito—. De estos tres criterios, el que resulta menos esclarecedor es el último, porque no todos los tipos delictivos contemplados en el CPM [Código penal militar] son tipos penales determinados por la condición militar de su autor. Probablemente, los tres criterios que maneja la doctrina constitucional citada pueden reducirse a uno solo, conforme al cual, el ámbito de lo ‘estrictamente castrense’, en el orden penal, debe identificarse con la protección de los bienes jurídicos militares que resultan necesarios para que los ejércitos cumplan las misiones que les asigna el artículo 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efecto, la restricción subjetiva a la que se acaba de hacer referencia admite excepciones en determinados supuestos en los que el propio tipo penal militar contempla que el sujeto activo pueda ser un civil. Así, la doctrina ha venido distinguiendo entre los ‘delitos exclusiva o propiamente militares’ —aquellos en los que el militar quebranta un deber inherente a la profesión de las armas, sin perjuicio de que también puedan ser responsabilizados por ellos los no militares, por la vía indirecta de la participación—, de aquellos otros ‘delitos impropiamente militares’, en los que los civiles pueden ser sujetos activos directos de un ataque a un bien jurídico castrense o en los que su propio carácter pluriofensivo daña a la vez bienes jurídicos tutelados por la legislación ordinaria y bienes de naturaleza castrense.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CPM ha tipificado conductas constitutivas de uno y otro tipo de delitos. Así, los civiles pueden ser sujetos activos de diversos delitos militares en tiempo de paz: el allanamiento de dependencia militar —artículos 61 CPM de 1985 y 29 CPM de 2015—; los delitos contra centinela —artículos 85 CPM de1985 y 34 CPM de 2015—; la incitación, apología, auxilio o encubrimiento, así como la provocación, conspiración y proposición, del abandono de destino o residencia, de la deserción o de la inutilización voluntaria y simulación para eximirse del servicio —artículos 129 CPM de 1985 y 60 CPM de 2015—; los delitos contra la Administración de la Justicia Militar —artículos 180 y 182 a 188 CPM de 1985—, ya no contemplados en el CPM de 2015; y la receptación de efectos militares —artículos 197 CPM de 1985 y 85 CPM de 2015—. Esta sala se ha pronunciado en este sentido en diversas resoluciones. Así: respecto del delito de allanamiento de instalaciones militares, en las SSTS, Sala artículo 39 LOPJ, núm. 1/2021, de 16 de febrero (cj. 2-2020), núm. 1/2016, de 5 de julio (cj. 1-2016), núm. 3/1999, de 22 de diciembre (cj. 2-1999), y núm. 3/1997, de 21 de octubre (cj. 3-1997); o respecto de los delitos contra centinela en la STS, Sala artículo 39 LOPJ, núm. 2/2004, de 27 de octubre (cj. 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Para resolver el conflicto ahora planteado, debe recordarse qué fundamento tiene la atribución de conocimiento de los delitos conexos. Precisamente en el ámbito de los conflictos de jurisdicción entre la jurisdicción militar y la penal ordinaria pone de manifiesto tal fundamento la STS, Sala artículo 39 LOPJ, núm. 2/2014, de 4 de diciembre (cj. 2-2014), cuyo FJ 7 señala que la prevalencia del artículo 14 LOCOJM, postergando la regla de atribución jurisdiccional mediante el criterio de especialidad fijado en el artículo 12.1 de dicha norma, obedece a ‘razones de unificación procedimental y de no quebrar el principio de continencia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efecto, lo que pretende el legislador cuando contempla que el juez o tribunal que resulte competente para conocer del o de los delitos considerados principales conozca también de los que le sean conexos es, precisamente, que no se rompa la continencia de la causa. Así, señala el artículo 17 LECrim que los delitos conexos han de ser investigados y enjuiciados ‘en la misma causa cuando la investigación y la prueba en conjunto de los hechos resulten convenientes para su esclarecimiento y para la determinación de las responsabilidades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Lo que hizo el Juzgado de Instrucción núm. 42 de Madrid —cuando acordó inhibirse a favor de los órganos de la jurisdicción militar para que conocieran de los delitos investigados cometidos por personal militar, reservándose el conocimiento de los cometidos por civiles, y cuando luego rechazó el requerimiento de inhibición respecto del conocimiento de estos— fue, precisamente, romper la continencia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 consecuencia, siendo que el artículo 14 LOCOJM —al establecer la regla por la que se rige la atribución de competencia a la jurisdicción militar o a la ordinaria para conocer de los delitos conexos— no exceptúa los supuestos en los que el delito común conexo a otro militar haya sido cometido por un civil y que, como se ha señalado, los civiles también pueden ser juzgados ante la jurisdicción militar cuando con su conducta comprometan bienes, valores y principios militares que la norma castrense pretende proteger, debe entenderse que a los órganos de la jurisdicción militar competentes para conocer de los delitos militares que tienen señalada pena más grave corresponde también el conocimiento de aquellos delitos comunes conexos cometidos por personal no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otra parte, no debe olvidarse que, como razonó el Juzgado Togado Militar Central núm.1, las conductas investigadas en la causa lesionan esencialmente el bien jurídico de la correcta administración de los fondos públicos presupuestados para el Ministerio de Defensa, por lo que los hechos en los que presuntamente pudieron haber incurrido los civiles investigados —que, mediante sus conductas, pudieron haber participado de uno u otro modo en las operaciones llevadas a efecto para defraudar aquellos fondos públicos— podrían no solo ser considerados como delitos comunes en relación de conexidad medial con los delitos contra la hacienda militar cometidos por militares, sino que también podrían calificarse como conductas constitutivas de cooperación necesaria para la ejecución de aquellos delitos militares”.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la vulneración del derecho al juez ordinario predeterminado por la ley, en relación con la constricción constitucional de la jurisdicción militar al ámbito estrictamente castrense (art. 24.2, en relación con el art. 117.5 CE), por error en la interpretación y aplicación de los arts. 12, 14 y 15 de la Ley Orgánica 4/1987, de 15 de julio, de la competencia y organización de la jurisdicción militar, a fin de atribuir a esta jurisdicción la competencia para conocer, por razón de conexidad, hechos eventualmente constitutivos de delitos comunes que se atribuyen a personal no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solicitó la suspensión de las diligencias 1-10-2020, que se tramitan ante el Juzgado Togado Militar Central núm. 1, en tanto sea resuelto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2022, la Sección Primera del Tribunal Constitucional dispuso admitir a trámite el presente recurso, al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como consecuencia de cambios normativos relevantes para la configuración del contenido del derecho fundamental [STC 155/2009, FJ 2 b)]. También se acordó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conforme a lo dispuesto en el art. 56 de la Ley Orgánica de este tribunal, se resolvió conceder un plazo de tres días al demandante de amparo y al Ministerio Fiscal, para que aleguen lo que estimen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mayo de 2022 presentó sus alegaciones el demandante de amparo. En primer lugar, sintetiza la tramitación procesal llevada a cabo hasta el pronunciamiento de la sentencia dictada por la Sala de Conflictos del Tribunal Supremo, que es objeto de impugnación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expone cuáles serían los daños que sufriría el demandante si no se acordara la suspensión cautelar: en primer lugar, que si se demorase la resolución del presente recurso de amparo, el demandante y el resto de civiles podrían ser enjuiciados y hasta condenados por el tribunal militar sin contar con jurisdicción para ello, lo que supondría no solo la vulneración del derecho al juez ordinario predeterminado por la ley (art. 24.2 CE), sino lo que denomina la “total consumación de esa infracción”, con la consiguiente frustración de la finalidad del recurso de amparo. Por otro lado, señala que la adopción de la medida cautelar no ocasionaría ningún tipo de perturbación grave a un interés constitucionalmente protegido ni a los derechos fundamentales o libertades de otra persona. Añade que no existen actuaciones urgentes o relevantes que practicar “en ninguna de las instrucciones que están afectadas por la sentencia recurrida”; destaca que, en los procedimientos seguidos, tanto por el juzgado togado como por el juzgado de instrucción, no hay acusaciones personadas e insiste en destacar la perturbación que se originaría si “las instrucciones penales continúan ante jurisdicciones y órganos que finalmente pudiera resultar que carecen de jurisdicción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afirma que la suspensión que se acuerde debe de afectar, necesariamente, tanto al procedimiento seguido ante el Juzgado Togado Militar Central núm. 1 como al que pudiera seguirse ante el Juzgado de Instrucción núm. 42 de Madrid (diligencias previas 2778-2019). Y ello, porque si se continuase la tramitación por el referido juzgado togado militar y, ulteriormente, se concediera el amparo, cuando menos se produciría la nulidad de todas las actuaciones realizadas en la jurisdicción militar, amén de los daños irreparables que para el demandante y los investigados civiles podría suponer la ejecución de “las hipotéticas resoluciones que se podría[n] dictar”. Pero, si se reactivase la tramitación del procedimiento seguido en el Juzgado de Instrucción núm. 42 de Madrid, también podría ocurrir que las actuaciones practicadas devinieran nulas si, posteriormente, el recurso de amparo fuera desestimado. En suma, afirma que de continuar la tramitación de cualquiera de los procedimientos podrían producirse ulteriores nulidades y perjuicios irreparables, no solo para el derecho al juez ordinario predeterminado por la ley sino también para 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ámbito subjetivo de la suspensión, el demandante considera que debe extenderse a todos los investigados, tanto personal civil como militar. Entiende que si se siguiera el procedimiento respecto del personal militar afectado podría originarse una situación de indefensión para el demandante, si ulteriormente se desestimara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2 de junio de 2022 presentó sus alegaciones el fiscal jefe de la Fiscalía ante el Tribunal Constitucional (en adelante el fiscal). Tras resumir los antecedentes que consideró de interés y los aspectos esenciales de las alegaciones del recurrente, trae a colación lo resuelto por este tribunal en el auto de 9 de mayo de 2022, dictado en el recurso de amparo 6748-2021 (ATC 81/2022), a cuyo contenido se remite íntegramente. Por ello, considera que procede acordar o tener por ya acordada la suspensión cautelar de la resolución impugnada, en los mismos términos que en lo que fue por el ATC 81/2022.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incluso, podría ser innecesario un nuevo y explícito pronunciamiento sobre esta temática, habida cuenta de la decisión adoptada por este tribunal en el auto objeto de cita, que determinó objetivamente y sin concreciones ad hominen la suspensión de la eficacia de la sentencia impugnada en esta sede. Por tanto, desde un plano estrictamente formal cabría entender que esta petición de suspensión ha perdido sobrevenidamente su objeto. En cualquier caso, reitera el fiscal que la decisión adoptada en el ATC 81/2022 debe hacerse extensiva al presente caso en los mismos términos y por las razones expresadas en el fundamento jurídico cuarto de esa resolución; esto es, “la reintegración cautelar al Juzgado de Instrucción núm. 42 de Madrid de aquella parte de la investigación para la que se había estimado competente, y que dio lugar al conflicto de jurisdicción (el conocimiento de los hechos presuntamente constitutivos de delitos comunes imputados a personas que carecen de la condición de militar), sin que proceda, más allá de ese efecto, adoptar resolución alguna sobre la continuación o suspensión de cualquiera de los dos procedimientos penales concernidos por dicho conflicto”. Por ello, si se accediera a dotar a la medida de la extensión pretendida por el recurrente se “desbordaría de manera palmaria el ámbito objetivo posible del propio recurso, e incluso de los términos del petitum de su propia demanda”, pues no se ajustaría a la necesidad de salvaguardar la efectividad de la futura sentencia; ni respondería, como así se desprende de la argumentación del demandante, a la exigencia de que “el perjuicio irreparable debe ser real, sin que sea posible alegar un perjuicio futuro o hipotético o un simple temor (por todos, ATC 199/2010, de 21 de diciembre, FJ 3)”, con independencia de la aplicación, llegado el caso, de la cautela establecida en el fundamento jurídico 4 del ATC 81/2022.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reflejado en los antecedentes de esta resolución, el demandante de amparo solicita la suspensión total de los efectos de la sentencia núm. 2/2021, de 12 de julio de 2021, dictada por la Sala de Conflictos de Jurisdicción del Tribunal Supremo, así como la paralización de la tramitación de los procedimientos penales hasta que se dicte sentencia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fiscal interesa también que se adopte la medida cautelar de suspensión, en los términos expuestos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Dispone el artículo 56.2 de la Ley Orgánica del Tribunal Constitucional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es doctrina reiterada de este tribunal que “la pretensión cautelar analizada se configura como una medida de carácter excepcional y de aplicación restrictiva” (AATC 117/2015, de 6 de julio, FJ 1; 59/2017, de 24 de abril, FJ 1; 177/2019, de 16 de diciembre, FJ 2, y 49/2022, de 7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lo irreparable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11 de mayo, FJ 1; 147/2017, de 13 de noviembre, FJ 1, y 177/2019, FJ 2]. Ahora bien, “el perjuicio irreparable debe ser real, sin que sea posible alegar un perjuicio futuro o hipotético, o un simple temor” (ATC 250/2013, de 4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ya se ha pronunciado sobre la suspensión cautelar de la resolución impugnada en el presente recurso de amparo; concretamente, en el ATC 81/2022, de 9 de mayo, resolvimos sobre la petición de suspensión formulada en el recurso de amparo núm. 6748-2021 y, al respecto, acordamos “[l]a suspensión cautelar de la eficacia de la sentencia 2/2021, de fecha 12 de julio de 2021, pronunciada por la Sala de Conflictos de Jurisdicción del Tribunal Supremo en el conflicto A39-1-2021, y de la providencia de 9 de septiembre de 2021, dictada también en el indicado conflicto, en los términos establecidos en el fundamento jurídico cuarto de esta resolución”. En el indicado fundamento jurídico delimitamos el alcance de la medida cautelar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la suspensión cautelar de la efectividad de las resoluciones impugnadas en este recurso queda garantizada la finalidad prevenida en art. 56.2 LOTC. Conforme a ese propósito, la medida adoptada solo afectará a los aspectos controvertidos que suscitaron el conflicto de jurisdicción, de suerte que la asignación competencial a favor del Juzgado Togado Militar Central núm. 1, respecto de los hechos que motivaron que el Juzgado de Instrucción núm. 42 de Madrid rechazara el requerimiento de inhibición, quedará diferida hasta la resolución del presente recurso, pero sin que ello afecte a su competencia respecto de los delitos atribuidos al personal militar, por ser esta cuestión ajena al conflicto de jurisdicción suscitado. En suma, el indicado juzgado de instrucción recobrará, con carácter provisorio, la competencia para conocer de los hechos referidos a los investigados que carecen de la condición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a lo estatuido en el art. 56.2 LOTC, los perjuicios que deben precaverse son aquellos que, de producirse, podrían hacer perder al amparo su finalidad. Y en el presente caso, la suspensión de la eficacia de las resoluciones impugnadas sirve de manera asaz a ese designio, en tanto que, hasta la resolución del presente recurso se evita que el órgano de la jurisdicción militar pueda conocer respecto de los investigados que no ostentan esa condición. Por otro lado, debe advertirse que la medida cautelar regulada en el art. 56.2 LOTC no está llamada a prevenir perjuicios futuros e hipotéticos, que es lo que, dado el actual estado de tramitación del procedimiento, plantea el recurrente en su escrito de 28 de abril de 2022. Y en cualquier caso, debemos recordar que el art. 57 LOTC autoriza la modificación de la medida cautelar de suspensión,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si con anterioridad a la resolución de este recurso de amparo, en el ámbito de la jurisdicción ordinaria se resolviera proseguir la sustanciación del procedimiento por los hechos indicados, el órgano judicial que corresponda deberá suspenderla con anterioridad a proceder, llegado el caso, a la apertura de la fase del juicio oral o a dictar una resolución que suponga la finalización del procedimiento, a fin de que este tribunal pueda, eventualmente, modificar la medida cautelar tras la ponderación de los intereses constitucionales concurrentes, de conformidad con lo previsto en el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actuaciones seguidas en relación con los investigados que ostentaban la condición militar, respecto de las cuales el Juzgado de Instrucción núm. 42 de Madrid se inhibió a favor de la jurisdicción militar, por auto de 24 de febrero de 2020, cumple indicar que a este tribunal no le compete adoptar ningún pronunciamiento, habida cuenta de que, al no haberse suscitado controversia alguna sobre ese particular, corresponde al Juzgado Togado Militar Central núm. 1 decidir sobre el curso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Señala el fiscal que en el presente caso bastaría con remitirnos a lo ya acordado en el ATC 81/2022; y añade que, incluso, cabría entender que a la vista de lo acordado en dicha resolución la presente petición ha perdido objeto. No obstante, en la medida en que en el escrito de alegaciones del demandante se pretende dotar a la medida cautelar de una dimensión objetiva y subjetiva distinta, se considera procedente dar respuesta a dicha petición que, cabe ya anticipar, será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de alegaciones, el recurrente expresamente pretende que la suspensión opere sobre la tramitación, tanto del procedimiento seguido por el Juzgado Togado Militar Central núm. 1 como por el que pudiera seguir el Juzgado de Instrucción núm. 42 de Madrid, y añade que esa paralización debería proyectarse respecto de todos los investigados, sean civiles o militares. Tal petición se sustenta en la merma del derecho de defensa a que darían lugar de disfunciones procesales que pudieran acontecer, con motivo de las resoluciones procesales que se adoptaran, tanto si el recurso de amparo finalmente se estima o se desestima. Pese a lo alegado, cumple decir que el alcance de la suspensión que se pretende desborda con creces el ámbito al que debe circunscribirse la medida cautelar regulada en el art. 56.2 LOTC. La proyección que auspicia el recurrente trasciende de lo exigido para la preservación del derecho fundamental al juez ordinario predeterminado por la ley (art. 24.2 CE), al incidir en aspectos que van más allá de los términos del conflicto de jurisdicción que dio lugar a la sentencia combatida en esta sede. Y respecto de los perjuicios que se auguran, para el caso de no acceder a lo pretendido, basta con reiterar lo razonado en el fundamento jurídico 4 del ATC 81/2022 sobre la realidad y actualidad de los perjuicios que justifican la aplicación de las medidas reguladas en el art. 56.2 LOTC, amén de que el art. 57 de esa norma habilita la modificación de la medida cautelar en virtud de circunstancias sobrevenidas o que fueran desconocidas al tiempo de sustanciarse 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cautelar de la eficacia de la sentencia 2/2021, de fecha 12 de julio de 2021, pronunciada por la Sala de Conflictos de Jurisdicción del Tribunal Supremo en el conflicto A39-1-2021, en los términos establecidos en el fundamento jurídico cuarto del ATC 81/2022, de 9 de mayo.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