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12 de julio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4701-2020, promovida por el Juzgado de Violencia sobre la Mujer núm. 1 de Jerez de la Frontera, en relación con el art. 92.7 en su inciso primero del Código civil, en la redacción dada por la Ley 15/2005, de 8 de julio, por posible vulneración del principio del interés superior del menor (art. 39.2 y 4 CE), del libre desarrollo de la personalidad (art. 10.1 CE), del derecho a la vida familiar (arts. 10.1 y 39.1 CE, en relación con el art. 8 del Convenio Europeo de Derechos Humanos), y el derecho a la vida privada (art. 10.1 CE en relación con el art. 8 del Convenio). Han intervenido y formulado alegaciones el fiscal general del Estado y el abogado del Estado.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octubre de 2020, el letrado de la administración de justicia del Juzgado de Violencia sobre la Mujer núm. 1 de Jerez de la Frontera remitió testimonio del auto de 28 de septiembre de 2020, por el que el referido juzgado planteó cuestión de inconstitucionalidad en relación con el inciso primero del art. 92.7 del Código civil (en adelante, CC). Junto al testimonio de la referida resolución, se remitieron en soporte digital las actuaciones íntegras practicadas en ese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11 de marzo de 2019, doña M.J.V.C., presentó demanda divorcio contra don J.J.C.M., que fue turnada al Juzgado de Primera Instancia núm. 6 de Jerez de la Frontera (divorcio contencioso 531-2019), en la que se solicitaba la custodia exclusiva de los dos hijos menores del matrimonio y, subsidiariamente, la custodia compartida. En su contestación de la demanda el señor C.M., solicitó la custodia compartida.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24 de septiembre de 2019, el Juzgado de Instrucción núm. 4 de Jerez de la Frontera, tras apreciar la existencia de indicios de varios delitos —de maltrato (art.153.1 del Código penal, en adelante, CP), amenazas (art.169.2 CP), acoso (art.172 ter CP) y contra la libertad sexual (art. 179 CP), así como una situación objetiva de riesgo— dictó orden de protección a favor de la señora V.C., acordando como medidas cautelares penales la prohibición de aproximación del señor C.M., y la de comunicarse con ella por cualquier medio. También se atribuyó la custodia de los hijos menores a la madre y se estableció el régimen de visitas del padre, con entregas y recogidas a través del punto de encuentro familiar. De la lectura del auto se deduce que a doña M.J.V.C., también se le atribuyó la condición de investigada.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14 de noviembre de 2019, el Juzgado de Primera Instancia núm. 6 de Jerez de la Frontera aceptó el requerimiento de inhibición a favor del Juzgado de Violencia sobre la Mujer núm. 1, remitiéndole las actuaciones de conformidad con el art. 87 ter de la Ley Orgánica del Poder Judicial (en adelante, LOPJ) y art. 49 de la Ley de enjuiciamiento civil (en adelante, LEC); y por auto de 24 de marzo de 2020, se prorrogaron las medidas civiles adoptadas en el auto por el que se acordó la orden de protección de doña M.J.V.C.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acto de la vista del procedimiento de divorcio núm. 23-2020, seguido ante el Juzgado de Violencia sobre la Mujer núm.1 de Jerez de la Frontera, ambas partes manifestaron que, en relación con las medidas a adoptar respecto de sus hijos menores, habían llegado al acuerdo de solicitar la guardia compartida por periodos semanales. El Ministerio Fiscal informó desfavorablemente al considerar que, en un caso como este, el art. 92.7 CC impedía el ejercicio conjunto de la custodia.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providencia de 15 de julio de 2020, el órgano judicial acordó dar audiencia a las partes y al Ministerio Fiscal sobre la pertinencia de plantear cuestión de inconstitucionalidad en relación con el art. 92.7 CC. En esta providencia el juzgado puso de manifiesto a las partes que el referido precepto podía resultar contrario a los arts. 10.1, 18.1, 39.1, 39.2 y 39.4 CE, todos ellos en relación con el art.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Ministerio Fiscal consideró procedente el planteamiento de la presente cuestión de inconstitucionalidad. También estuvo de acuerdo la representación procesal de doña M.J.V.C. Por el contrario, la representación procesal de don J.J.C.M., consideró que no era necesario plantearla, al entender que la decisión relativa a la procedencia de la custodia compartida debía adoptarse atendiendo a los intereses del menor, con independencia de la situación procesal en la que se encuentren sus progenitores. No obstante, alega también que, en el caso de que se planteara la cuestión suscitada, debería versar sobre si en un caso como el del presente supuesto, en el que tanto los menores como los progenitores están de acuerdo en que la custodia ha de ser compartida, se puede denegar tal régimen en virtud de lo dispuesto en el art. 92.7 CC. A su juicio, el art. 39 CE en relación con el art. 10.2 CE impiden llegar a esa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28 de septiembre de 2020, el Juzgado de Violencia sobre la Mujer núm. 1 de Jerez de la Frontera acordó plantear cuestión de inconstitucionalidad respecto del inciso primero del art. 92.7 CC, al considerar que podía lesionar los arts. 39.2 y 4 CE por vulnerar el principio que exige actuar atendiendo al interés superior del menor; el principio que garantiza el libre desarrollo de la personalidad (art. 10.1 CE); el derecho a la vida familiar (art. 10.1 y 39.1 CE), y el derecho a la vida privada (art. 10.1 CE en relación con el art. 8 del Convenio europeo de derechos humanos: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tras hacer una breve referencia a los hechos de los que trae causa la presente cuestión de inconstitucionalidad, indicando que el proceso penal en que se adoptaron las medidas de protección se sigue en el propio juzgado, y que estas continúan vigentes, se pone de manifiesto que en este caso, salvo la circunstancia de que el padre de los menores posee la condición de investigado por un delito relacionado con la violencia de género y la madre tiene también tal condición por un delito de violencia doméstica conexo con los imputados al padre, no existen motivos que justifiquen la denegación de la custodia compartida, pues ambos progenitores están de acuerdo en que esta medida es la más conveniente para los hijos menores. Se indica también que la razón por la que el fiscal no la apoya es únicamente porque lo impide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advierte que los progenitores, desde el momento de su separación, han optado por un sistema de custodia conjunta, régimen que no ha sido desfavorable para los niños. También manifiesta que, según han declarado tanto el padre como la madre, los menores desean continuar con ese régimen.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órgano judicial, la única causa que podría justificar la denegación del régimen de custodia compartida es que, en este caso, el respeto mutuo entre los progenitores en sus relaciones personales, que es uno de los criterios que ha de valorarse para decidir si procede otorgar la guardia conjunta, juega en contra de esta opción. No obstante, entiende que, según ha establecido el Tribunal Supremo, las relaciones entre los cónyuges por sí solas no son relevantes, ni irrelevantes para determinar el régimen de custodia, pues solo se convierten en relevantes cuando afectan negativamente al interés del menor (STS de 7 de junio de 2013, recurso núm. 1128-2012). Por ello, considera que como en este supuesto, el deterioro de las relaciones entre los padres que pudiera derivarse de la pendencia de un proceso penal no ha afectado a los hijos menores —conclusión que deduce del hecho que fuera este el sistema que siguieron hasta que se adoptaron medidas provisionales en la orden de protección concedida a la madre— el único motivo por el que no puede acordar la custodia compartida es la prohibición establecida en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que plantea la cuestión sostiene que los antecedentes parlamentarios de esta norma no permiten interpretarla en el sentido de considerarla inaplicable cuando se estime que el interés superior del menor exige que la custodia se ejerza de forma conjunta. Y a la misma conclusión le lleva su análisis sistemático, pues, según afirma, a diferencia de lo que ocurre con otros apartados del art. 92 CC en los que se establecen criterios de ponderación para identificar el interés general del menor, el inciso cuestionado establece una prohibición taxativa, que no permite excepciones ni matizaciones. Por todo ello, defiende que “si es el legislador quien ha determinado con carácter general cuál es el interés de los menores ante un supuesto de hecho definido en la ley, no puede el juez prescindir de aquella determinación legal incluso en el caso de que se considere que la ponderación efectuada por el legislador le impide resolver del modo más favorable al menor directamente concernido en ese asunto” y por esta razón considera que no puede inaplicar este precepto aunque considere que en el caso que está enjuiciado la custodia compartida pueda ser mejor para 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por otra parte, que la regla que contiene el inciso cuestionado del art. 92.7 CC es aplicable a todos los casos en los que se solicite la custodia compartida, ya sea por uno o por ambos progenitores y haya una causa penal por violencia doméstica en curso contra alguno de ellos. Asimismo se entiende que el precepto, aunque literalmente se refiere al supuesto en el que “cualquiera de los padres esté incurso en un proceso penal”, ha de aplicarse también en los casos en los que son ambos progenitores los que están incursos en tales procesos, pues si el legislador considera que la custodia compartida no es compatible con un contexto familiar en el que alguno de los progenitores está incurso en un proceso penal por violencia familiar esa incompatibilidad concurrirá, con mayor motivo, cuando son ambos progenitores los que han podido incurrir en esa conducta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expuestas llevan al órgano judicial que plantea la cuestión a apreciar que la única interpretación plausible del inciso primero del art. 92.7 CC es considerar que el legislador quiso prohibir de manera absoluta la custodia compartida cuando alguno de los progenitores esté incurso en algún proceso penal por alguno de los delitos indicados en la norma. Pone de manifiesto, además, que esta es la conclusión a la que ha llegado el Tribunal Supremo, citando, entre otras, la STS de la Sala de lo Civil —sección primera— de 4 de febrero de 2016 (núm. de recurso de casación 3016-2014), en la que se sostiene que “la custodia compartida conlleva como premisa la necesidad de que entre los padres exista una relación de mutuo respeto en sus relaciones personales que permita la adopción de actitudes y conductas que beneficien al menor, que no perturben su desarrollo emocional y que pese a la ruptura afectiva de los progenitores se mantenga un marco familiar de referencia que sustente un crecimiento armónico de su personalidad”.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que plantea la cuestión considera que el inciso primero del art. 92.7 CC es inconstitucional, porque vulnera el principio de protección del interés superior del menor que consagra el art. 39 CE en sus apartados, 1, 2 y 4, y supone una injerencia desproporcionada en la vida familiar, que es contraria al art. 10.1 CE en relación con el art. 8 CEDH; en la vida privada, que infringe el principio que garantiza el libre desarrollo de la personalidad (art. 10.1 CE) y art. 8 CEDH y en el derecho a la intimidad personal y familiar. Junto a ello se invoca el art. 3.1 de la Convención sobre los derechos del niño que dispone que “todas las medidas concernientes a los niños que tomen las instituciones públicas o privadas de bienestar social, los tribunales, las autoridades administrativas o los órganos legislativos, una consideración primordial a que se atenderá será el interés superior del niño” y el art. 24.2 de la Carta de derechos fundamentales que recoge este mismo principio. Se cita, asimismo, jurisprudencia del Tribunal Europeo de Derechos Humanos, en la que resuelve el caso tomando en consideración el principio que exige actuar de acuerdo con el interés superior del menor (SSTEDH de 7 de marzo de 2017, asunto R.L.y otros c. Dinamarca, §66; de 10 de febrero de 2015, asunto Penchevi c. Bulgaria, § 75, y de 8 de julio de 2003, asunto Sahin c. Alemania, §66).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señala que el art. 39 CE, en sus apartados 2 y 4, recoge implícitamente el principio del interés superior del menor (STC 99/2019, de 18 de julio, FJ 7) y que este principio se encuentra expresamente recogido en el art. 2 de la Ley Orgánica 1/1996, de 15 de enero, de protección jurídica del menor, de modificación parcial del Código civil y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principio insiste en que ha inspirado la regulación de la custodia compartida, así como la jurisprudencia recaída sobre estas normas, advirtiendo que enuncia un concepto jurídico indeterminado que no puede definirse en abstracto, sino que ha de ser identificado en el caso concreto y en función de las circunstancias concurrentes. Ahondando en el régimen de custodia compartida, afirma que el art. 92.8 CC excepcionalmente permite que el juez la acuerde, aunque solo la solicite uno de los progenitores, si solo así se protege adecuadamente el interés superior del menor. Sin embargo, el inciso cuestionado, al no prever ninguna excepción basada en el interés superior del menor e impedir la custodia compartida cuando se den las circunstancias que esta norma prevé (que cualquiera de los progenitores este incurso en un delito relacionado con la violencia doméstica), está limitando el principio de protección del menor que se deriva del art. 39.2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pone de manifiesto que de la jurisprudencia del Tribunal Europeo de Derechos Humanos se desprende que la esencia de la vida familiar protegida por el art. 8 CEDH es la convivencia y que los progenitores y los hijos puedan disfrutar de su compañía mutua constituye un elemento fundamental de la noción de vida familiar (se cita la STEDH de 26 de marzo de 2013, asunto Zorica Jovanović c. Serbia, § 68). De ahí que cualquier medida que impida ese disfrute constituye una injerencia en el derecho protegido en el art. 8 CEDH (se cita la STEDH de 5 de abril de 2005, asunto Monory c. Rumanía y Hungría, §70). De esta jurisprudencia deduce que el art. 8 CEDH preserva las relaciones entre los progenitores y los hijos con la mayor amplitud posible, por lo que solo pueden ser limitadas cuando lo aconseje el interés superior del menor en atención a las circunstancias concurrentes. Esta consideración lleva a sostener que la prohibición de la custodia compartida que contiene el inciso primero del art. 92.7 CC, constituye una injerencia en el derecho a la vida familiar y a la vida privada que garantiza el art. 8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también que, aunque la Constitución Española no reconoce el derecho a la vida familiar y a la vida privada, ello no significa que este derecho no tenga protección constitucional, pues su tutela está garantizada por los principios que garantizan el libre desarrollo de la personalidad y que aseguran la protección social, económica y jurídica de la familia (arts. 10.1 y 39.1 CE), citando las SSTC 53/1995, de 11 de abril, FFJJ 3 y 8; 93/2013, de 23 de abril, FJ 8; 186/2013, de 4 de noviembre, FJ 7; 131/2016, de 18 de julio, FJ 6, y 81/2020, de 15 de julio, FJ 11. Por ello, considera que el inciso cuestionado puede ser lesivo de los citados principios constitucionales. Se señala que la proyección de la paternidad y maternidad forma parte del ámbito restringido en el que se desenvuelve la propia personalidad, por lo que se encuentra protegido por el art. 10.1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que plantea la cuestión analiza a continuación si las limitaciones que impone el art. 92.7 CC al principio de protección del menor que se deriva del art. 39.2 y 4 CE; al principio que garantiza el libre desarrollo de la personalidad (art. 10.1 CE); a la protección de la familia que garantiza el art. 39.1 CE, en relación con el derecho a la vida familiar y privada (art. 8 CEDH) persiguen una finalidad legítima y si son razonables y proporcionadas.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esta norma tiene una finalidad legítima pues, por una parte, intenta preservar a los hijos de cualquier forma de violencia que pudieran padecer directamente o indirectamente (si se ejerce sobre el otro progenitor) y, garantizar un adecuado desarrollo del régimen de custodia, pues si la relación entre los padres ha sido o es violenta podría repercutir en el bienestar de los menores; y, por otra, pretende proteger a las víctimas de violencia doméstica, pues no es aceptable colocar a quien ha padecido esta situación abusiva en régimen de igualdad con su victimario, en orden a establecer una relación continuada de colaboración que permita el adecuado desenvolvimiento del régimen de custodia compartida. No obstante, considera que si tales medidas no garantizan el interés del menor las referidas finalidades no podrán considerarse constitucionalmente legitimadas, lo que requiere un examen individualizado de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art. 92.7 CC, al no establecer ninguna excepción a la prohibición de la guardia conjunta en los casos de violencia familiar, podría no estar atendiendo al interés superior del menor, pues, atendiendo a las circunstancias del caso concreto, pudiera ser que el interés superior del menor exigiera otorgar la guarda conjunta a los progenitores, que es, a su entender, lo que ocurre en el caso del que trae causa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 además, que en el Código civil no se impide atribuir la custodia individual a un progenitor que esté incurso en un proceso penal relacionado con la violencia doméstica, pero sí prohíbe otorgar la custodia compartida, lo que podría dar lugar a atribuir la guardia a un progenitor sobre quien el legislador, en el inciso cuestionado, ha proyectado una sospecha de inhabilidad para el desempeño de su responsabilidad basándose en la pendencia de un proceso penal seguido contra él por violencia familiar. Por ello considera que en estos casos la prohibición de custodia compartida no es acorde con el interés del menor, pues si su finalidad es apartar al menor de un peligro (del progenitor al que se atribuye la conducta delictiva en el ámbito familiar), la norma resulta irrelevante porque no impide que el menor acabe bajo su custodia. Se afirma también que la prohibición que esta norma establece no resulta necesaria, pues se conseguiría el mismo fin estableciendo una excepción que, con las cautelas precisas, permita establecer la guardia conjunta, cuando de las circunstancias del caso resulte que ese régimen de custodia se adecúa mejor al interés superior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considera que el inciso primero del art. 92.7 CC podría ser contrario al principio que impone actuar atendiendo al interés superior del menor (art. 39.2 y 4 CE); al principio que garantiza el libre desarrollo de la personalidad (art. 10.1 CE); al derecho a la vida familiar (arts. 10.1 y 39.1 CE en relación con el art. 8 CEDH), y al derecho a la vida privada (art. 10.1 CE en relación con el art. 8 CEDH), y, en consecuencia, acuerda plantear cuestión de inconstitucionalidad respecto del referido inciso.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mediante providencia de 15 de diciembre de 2020, acordó admitir a trámite la presente cuestión de inconstitucionalidad, de conformidad con el art. 10.1 c) de la Ley Orgánica del Tribunal Constitucional (LOTC), reservar para sí el conocimiento de la misma, dar traslado de las actuaciones recibidas, conforme al art. 37.3 LOTC, al Congreso de los Diputados y al Senado, al Gobierno y a la fiscal general del Estado, para que se personaran y formularan las alegaciones pertinentes. Asimismo, se acordó comunicar la citada providencia al Juzgado de Violencia sobre la Mujer núm. 1 de Jerez de la Frontera, para que, de conformidad con el art. 35.3 LOTC, permanezca suspendido el proceso hasta la resolución definitiva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presidentes del Congreso de los Diputados y del Senado se personaron mediante sendos escritos de 13 y 18 de enero de 2021, en los que ofrecían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registrado en este tribunal con fecha de 15 de enero de 2021, tras formular las alegaciones que estimó oportunas, solicitó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destaca el carácter provisional de la medida prohibitiva del art. 92.7 CC, en el seno del procedimiento civil, en tanto se esclarece la responsabilidad penal o la culpabilidad del progenitor imputado o acusado de graves delitos en el ámbito familiar. A su entender, la disposición no vulnera el art. 39 CE, dado que la finalidad de protección del menor que persigue es evidente. Subraya que no consiste en una sanción a los progenitores, sino simplemente una medida preventiva adoptada por el legislador en contemplación de la gravedad de los delitos en los que podrían estar en curso y al riesgo al que podría estar sometido el menor. Advierte, en este sentido, que la legitimidad del órgano judicial y la función propia que está llamado a cumplir en un Estado de Derecho, habida cuenta de la importancia de la regulación de las relaciones familiares y del interés del menor, no es incompatible con que, en orden a la prevención de determinados casos graves, el legislador pueda establecer la interdicción del otorgamiento de la custodia compartida a los progenitores. Se trata, en definitiva, de proteger preventivamente los intereses del menor ante o sobre la base de la comprobación de unos hechos objetivos y graves que el legislador ha ponderado.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la abogacía del Estado que no puede interpretarse el primer inciso de la norma cuestionada sin tener en consideración el segundo, pues cuando todavía no existe imputación o acusación penal, queda a la valoración del juez, a la vista de las circunstancias en las que se encuentra el menor, la decisión acerca de cuál sea el régimen de custodia más adecuado. A su juicio, la prevención que el legislador ha introducido tiene tan solo carácter provisional y su objetivo es proteger un bien o interés constitucional que en ese momento debe considerarse más digno de tutela que el de la custodia compartida, como situación en principio más deseable, lo que encauza adecuadamente con los principios garantizados por los arts. 39 y 10 CE y por los acuerdos internacionales suscritos por España en orden a la protección del menor (especialmente con el art 2.2 de la Convención de derechos del niño, que insta a los órganos legislativos adoptar cuantas medidas sean necesarias para la protección del niño atendiendo siempre a su interés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entiende el abogado del Estado que el precepto objeto de la cuestión resulta constitucional, sin que se aprecie en él vulneración alguna en materia de protección de la familia, de los derechos del menor y del derecho a la intimidad, por lo que solicita la desestimación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fiscal general del Estado presentó sus alegaciones el 12 de febrero de 2021, solicitando igualmente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exposición delimitando los derechos fundamentales y principios constitucionales afectados por el cuestionado art. 92.7 CC, subrayando cómo el primero de ellos es el de protección o satisfacción del interés superior del menor que consagra el art. 39 CE en sus apartados 2 y 4. Así, tras recordar la doctrina constitucional, normativa y tratados internacionales sobre la protección del menor, concluye que se trata de un bien constitucional suficientemente relevante para motivar la adopción de medidas legales que restrinjan otros derechos y principios constitucionales. Por lo demás, sostiene que, efectivamente, también está concernida la vida familiar y privada de las partes pues, aunque la no convivencia de los padres no pone fin a la vida familiar (STEDH de 21 de junio de 1988, asunto Berrehab c. Países Bajos, § 21), lo cierto es que “el art. 8 del CEDH implica el derecho de un progenitor a obtener medidas adecuadas para reunirse con su hijo y la obligación de las autoridades nacionales de adoptarlas” (Eriksson c Suecia, 22 de junio de 1989, § 71; Olsson c. Suecia, 27 de noviembre de 1992, § 90; Saleck Bardi c. España, 24 de mayo de 2011, § 53); derecho a la vida familiar que, aun no reconocido expresamente en la Constitución Española, no por ello carece de protección constitucional (STC 236/2007, de 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procede a realizar el juicio de proporcionalidad de la medida legislativa contenida en el art. 92.7 CC, como presupuesto de constitucionalidad de la misma. Así, comenzando con la legitimidad constitucional de la finalidad perseguida por la norma cuestionada, concluye que, al ser la preservación de los hijos de cualquier forma de violencia directa o indirecta y, a su vez, la protección de las víctimas de violencia de género, debe considerarse constitucionalmente legítima, pues tanto el art 39 CE incorpora este mandato dirigido a todos los poderes públicos, como ostentan la naturaleza constitucional de fundamentales los derechos a la vida, integridad, libertad y seguridad. Respecto al objetivo de salvaguardia de menores y madres hace hincapié en que se trata de un objetivo único e inescindible, porque solo si hijos y madres son protegidos, quedarán protegidos individualmente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juicio de adecuación, tras examinar la norma en su contexto histórico y normativo, su evolución en otros textos nacionales e internacionales y dar cuenta de la situación real en que se encuentran los niños y niñas víctimas de violencia doméstica o que conviven con madres que la padecen, concluye que hay unanimidad en la apreciación de su consideración como víctimas que sufren una situación gravemente dañina para su evolución y desarrollo psicosocial, a lo que debe añadirse el riesgo de ser utilizados como instrumento de control y maltrato a la mujer. Por consiguiente, a juicio del Ministerio Fiscal, la prohibición contenida en el art. 92.7 CC es adecuada, en tanto contribuye a una efectiva protección de los menores respecto de un mal cierto y, a su vez, a la protección de sus madres. Advierte, en este sentido, que el hecho de que la prohibición legal afecte solo a la custodia compartida no convierte en inadecuada la norma. Las razones son claras: la previsión legal no excluye que los presupuestos recogidos en la norma se tengan en cuenta por el juzgador para no adjudicar la custodia individual a aquel progenitor que esté incurso en un procedimiento penal por violencia intrafamiliar y, en segundo término, porque el hecho de que no se haya excluido la posibilidad de una custodia individual, no resta la razonabilidad a la norma cuestionada. Todo lo más, podía poner en evidencia la falta de previsión legislativa para aquellos otros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referencia al juicio de necesidad, entiende la fiscal general del Estado que la custodia compartida exige, como presupuesto ineludible, una adecuada relación personal entre los progenitores basada en el respeto mutuo, lo que es incompatible con los supuestos de violencia de género o doméstica, que precisamente por su afectación a la vida familiar se consideran de especial gravedad. Con esta norma prohibitiva se pretende, precisamente, alejar al menor de la elevada tensión que en tales casos existe entre los progenitores y que previsiblemente generará continuos conflictos en la custodia, afectándole negativamente.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posibilidad sostenida por el órgano judicial que plantea la cuestión de salvaguardar el interés superior del menor introduciendo excepciones a la prohibición del art. 92.7 CC, entiende que supondría en realidad la desaparición de la norma, pues otorgaría al juez un amplio margen de discrecionalidad, equiparable al que le concede los arts. 92.2 y 5 CC cuando no existe violencia familiar, preceptos que indudablemente no satisfacen la finalidad perseguida por el cuestionado que es la de proteger eficazmente a los menores y a sus madres en situaciones excepcionalmente graves de violencia doméstica y/o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por lo que se refiere a la posibilidad de conseguir el objetivo perseguido por la norma a través de otras medidas menos intrusivas, en concreto, acordando las medidas cautelares reguladas en el art. 544 bis y ter de la Ley de enjuiciamiento criminal (LECrim), sostiene el Ministerio Fiscal que no convierten en innecesario el art. 92.7 CC. Así, analizando pormenorizadamente las medidas cautelares penales reguladas en el art. 544 bis y ter LECrim, y las civiles del art. 65 y 66 de la Ley Orgánica 1/2004, llega a la conclusión de que la prohibición regulada en el art. 92.7, inciso primero, CC satisface las exigencias del principio de necesidad, por cuanto no existen otras medidas menos gravosas que, sin imponer sacrificio alguno de derechos fundamentales o con un sacrificio menor, sean igualmente aptas para proteger a los menores que conviven en entornos violentos como los descritos en el precepto, salvaguardar su superior interés (art. 39 CE) y proteger a las madres.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la fiscal general del Estado examinando si las limitaciones al principio de libre desarrollo de la personalidad (art. 10.1 CE) y a la vida privada y familiar de los litigantes (art. 8 CEDH) están justificadas constitucionalmente por la finalidad de proteger el interés superior del menor y a sus madres que persigue el art. 92.7, inciso primero, CC. Sobre esta particular sostiene que la medida es proporcional, ya que es más beneficiosa y aporta más ventajas al menor que perjuicios para los progenitores pues, protege sin ambages a los hijos y a las víctimas de violencia de género y doméstica, afectando el sacrificio impuesto exclusivamente al régimen de custodia, sin vetar la posibilidad de que el juez acuerde un régimen de visitas y contactos que, una vez ponderadas las circunstancias concurrentes y adoptando las medidas que garanticen la seguridad y la recuperación de los niños y de sus madres (art. 66 de la Ley 1/2004), hagan posible la realización de los derechos de los progenitores a relacionarse con sus hijas e hijos, derecho que en todo caso debe de ceder ante el superior interés de los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solicita la desestimación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julio de 2022, se acordó señalar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Delimitación del objeto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presente cuestión de inconstitucionalidad es el primer inciso del art. 92.7 del Código civil (en adelante, CC), en la redacción dada por la Ley 15/2005, de 8 de julio, por la que se modifica el Código civil y la Ley de enjuiciamiento civil en materia de nulidad, separación y divorcio. Dicho precepto dispone que “[n]o procederá la guarda conjunta cuando cualquiera de los padres esté incurso en un proceso penal iniciado por atentar contra la vida, la integridad física, la libertad, la integridad moral o la libertad e indemnidad sexual del otro cónyuge o de los hijos que convivan con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92.7 CC ha sido modificado posteriormente por la Ley Orgánica 8/2021, de 4 de junio, de protección integral a la infancia y la adolescencia frente a la violencia y, después por la Ley 17/2021, de 15 de diciembre, de modificación del Código civil, la Ley hipotecaria y la Ley de enjuiciamiento civil, sobre el régimen jurídico de los animales. No obstante, el inciso cuestionado no se ha visto alterado por las citadas reformas legales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mediante el que se plantea la cuestión de inconstitucionalidad se suscita la duda sobre si la norma cuestionada —en cuanto prohíbe que pueda establecerse un régimen de custodia compartida de los hijos menores cuando cualquiera de los progenitores esté incurso en un proceso penal por violencia de género o doméstica— puede suponer una vulneración de los derechos constitucionales contenidos en los arts. 10.1, 39.1, 39.2 y 39.4 CE. El Juzgado de Violencia sobre la Mujer núm. 1 de Jerez de la Frontera plantea mediante el expresado auto si tal prohibición legal puede constituir una restricción desproporcionada al principio del favor filii y del libre desarrollo de la personalidad garantizado por la Constitución española, argumentando que pueden existir supuestos, como ocurre en el que está sometido a su enjuiciamiento, en los que, a pesar de que los progenitores estén incursos en procesos penales por delitos de violencia familiar, el régimen de guarda conjunta sea el más beneficioso para los menores. El juzgado entiende que se puede lograr el mismo resultado perseguido por la norma introduciendo una excepción que, con las cautelas que se consideren necesarias, permita al órgano judicial establecer la custodia conjunta cuando de las circunstancias del caso resulte que ese régimen se adecua mejor al interés superior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la fiscal general del Estado han solicitado la desestimación de la cuestión. Argumentan sobre el carácter provisional de la medida legal de protección del menor ante situaciones objetivas de grave violencia familiar, que hace primar su mayor beneficio frente a otros bienes o intereses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al juicio de proporcionalidad, el Ministerio Fiscal sostiene la legitimidad constitucional de la medida prohibitiva, en tanto trata de preservar a los menores de cualquier forma de violencia y daño físico o moral, que encuentra su fundamento principal en el mandato del art. 39 CE. La interdicción de la guardia compartida, por consiguiente, ha de reputarse adecuada, en tanto contribuye a una efectiva salvaguarda de niños y madres respecto a un mal cierto.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juicio de necesidad, el Ministerio Fiscal sostiene que el inicio de un proceso penal por violencia familiar hace que decaiga el presupuesto esencial para el establecimiento de una custodia compartida, que es una relación de respeto mutuo y buen entendimiento entre los progenitores. Tras analizar otras posibles medidas de protección, concluye que, si bien pudieran resultar menos gravosas para los padres, no serían igualmente aptas para resguardar la integridad física y moral de los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establecida en el art. 92.7 CC, por consiguiente, a juicio del Ministerio Fiscal, debe considerarse proporcionada y ajustada a los cánones que impone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procesales para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concurrencia de los requisitos procesales exigidos por el art. 35 LOTC puede ser examinada no solo en el trámite de admisión previsto en el art. 37 LOTC, sino también en la sentencia que ponga fin al proceso constitucional (entre otras muchas, STC 126/2021, de 3 de junio, FJ 2) y este examen, en tanto que afecta a los presupuestos de admisión, es una cuestión de orden público procesal que puede efectuarse de oficio por el Tribunal (STC 57/2017, de 11 de mayo, FJ 1, que, a su vez, cita las SSTC 196/1987, de 11 de diciembre, FJ 2; 87/1991, de 25 de abril, FJ 1, y 174/1998, de 23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de estos requisitos es el llamado juicio de relevancia, que exige que la decisión del proceso a quo dependa de la validez de la norma cuestionada (art. 35.2 LOTC). Este requisito, como ha declarado de forma reiterada la jurisprudencia constitucional (entre otras, SSTC 1/2016, de 18 de enero, FJ 2; 175/2016, de 17 de octubre, FJ 3; 57/2017, FJ 1, y 64/2019, de 9 de mayo), tiene como finalidad impedir que la cuestión de inconstitucionalidad pueda quedar desvirtuada por un uso no acomodado a su naturaleza y finalidad, lo que sucedería si se utilizase para obtener pronunciamientos innecesarios o indiferentes para la decisión del proceso en que se suscita, de manera que el control de constitucionalidad se convierta en un control abstracto. Por ello el Tribunal ha afirmado que esta exigencia “constituye uno de los requisitos esenciales de toda cuestión de inconstitucionalidad, por cuanto a su través se garantiza el control concreto de la constitucionalidad de la ley, impidiendo que el órgano judicial convierta dicho control en abstracto, al carecer de legitimación para ello” (SSTC 166/2007, de 4 de julio, FJ 7; 10/2015, de 2 de febrero, FJ 2, y 1/2016, de 18 de enero,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declara la jurisprudencia constitucional (entre otras muchas, STC 255/2015, de 30 de noviembre, FJ 2) para que se cumpla este requisito “debe darse una verdadera ‘dependencia’ (STC 189/1991, de 3 de octubre, FJ 2), o un ‘nexo de subordinación’, entre el fallo del proceso y la validez de la norma cuestionada (STC 157/1990, de 18 de octubre, FJ 1). No basta con que el órgano judicial considere que la norma es aplicable al caso, sino que también ha de satisfacerse el requisito de la relevancia, ya que la aplicabilidad de la norma es condición necesaria para que el fallo dependa de su validez, pero no es condición suficiente (SSTC 17/1981, de 1 de junio, FJ 4, y 156/2014,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declarado, que el juicio de relevancia ha de ser entendido como el “esquema argumental dirigido a probar que el fallo del proceso judicial depende de la validez de la norma cuestionada”. La ausencia o falta de consistencia de este esquema argumental determina la inadmisibilidad de la cuestión de constitucionalidad por falta de relevancia, pues en otro caso al Tribunal “no le corresponde sustituir o rectificar el criterio del órgano judicial al respecto” (STC 44/2019, de 27 de marzo,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Insuficiencia del juicio de relevancia realizado por el órgano que plantea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observa que en el apartado 6 del fundamento de Derecho primero del auto de planteamiento se afirma que por auto de 24 de septiembre de 2019 del Juzgado de Instrucción núm. 4 de Jerez de la Frontera se concedió una orden de protección a favor de la señora V.C., consistente en la prohibición de aproximación por parte del señor C.M., a menos de 300 metros y de comunicarse con aquella por cualquier medio. En el auto de planteamiento, apartado 11 del fundamento de Derecho primero, se indica que “[l]as medidas de protección siguen vigentes”.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no incluye argumentación alguna —a los efectos del juicio de relevancia que formula— en relación con la existencia y efectos de las referidas medidas cautelares de carácter penal. Si, como se afirma en el auto de planteamiento, tales medidas siguen vigentes no es posible atribuir a los padres la custodia compartida. Como ha declarado reiteradamente la jurisprudencia del Tribunal Supremo (entre otras muchas, SSTS 23/2017, de 17 de enero, FJ 8, y 729/2021, de 27 de octubre, FJ 7), para que este régimen pueda acordarse es preciso que los progenitores puedan tener comunicación entre ellos, pues solo de este modo pueden adoptarse las decisiones consensuadas que esta forma de custodia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resulta inevitable concluir que la resolución que haya de dictarse en el proceso a quo no depende de la constitucionalidad del art. 92.7 CC, pues el juzgado no ha dilucidado si la imposibilidad de acordar la custodia compartida deriva de lo previsto en esta norma o surge forzosamente de la existencia de unas medidas de protección adoptadas en el proceso penal iniciado por la denuncia formulada por la madre de los menores contra el padre de estos —proceso que se tramita en ese mismo juzgado—. Estas medidas conllevan no solo la prohibición de que el señor C.M. —padre de los menores— pueda aproximarse a la señora V.C. —madre de los menores— a menos de 300 de metros, sino también la prohibición de comunicarse con ella por cualquier medio. No existe, por tanto, la “dependencia” (STC 189/1991, FJ 2), o el “nexo de subordinación” (STC 157/1990, FJ 1) entre la resolución que ha de dictar el juez en el proceso y la validez de la norma cuestionada que la jurisprudencia constitucional exige para tener por válidamente planteada la cuestión, pues, en tanto se aprecie que siguen en vigor las medidas cautelares de orden penal adoptadas para proteger a la madre de los menores, al impedir estas medidas cualquier tipo de comunicación entre los progenitores, hacen inviable el régimen de custodia conjunta que solicitan los padres de los menores, con independencia de lo que establece el art. 92.7 CC.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