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13 de julio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Cuarta del Tribunal Constitucional, compuesta por el magistrado don Antonio Narváez Rodríguez, presidente; y los magistrados don Ramón Sáez Valcárcel y don Enrique Arnaldo Alcubilla, en el recurso de amparo núm. 6640-2021, promovido por don José Ramón Prado Bugallo, en relación con el auto de 15 de julio de 2021 y la providencia de 16 de septiembre de 2021 de la Sección Primera de la Sala de lo Penal de la Audiencia Nacional en el recurso de apelación núm. 517-2021,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recurrente en amparo elevó queja, en la que denunciaba la vulneración del derecho al secreto de las comunicaciones (art. 18.3 CE), contra el acuerdo del director del centro penitenciario Madrid VII-Estremera de 28 de diciembre de 2020 de mantenimiento de la intervención de sus comunicaciones (intervención núm. 22-2021), por un periodo de seis meses (desde el 28 de diciembre de 2020 hasta el 28 de junio de 2021). El acuerdo, del que se dio cuenta al Juzgado Central de Vigilancia Penitenciaria, se basaba en los arts. 51.1 y 5 de la Ley Orgánica general penitenciaria (LOGP) y en los arts. 41.2, 43.1 y 46.5 del Reglamento penitenciario (RP), y se fundaba en: (i) el tipo delictivo, por tratarse de delitos de naturaleza grave relacionados con el narcotráfico y el blanqueo de capitales que habría cometido el actor formando parte de una organización criminal en la que desempeñaría un papel relevante, hechos de los que está conociendo el Juzgado Central de Instrucción núm. 3, sumario ordinario núm. 5-2000; (ii) razones de seguridad y buen orden del establecimiento, al existir la posibilidad de que las comunicaciones con el exterior previstas reglamentariamente con familiares, amigos y otras personas autorizadas puedan ser utilizadas de forma fraudulenta para fines no previstos legalmente; y (iii) la capacidad criminal y la peligrosidad del interno, al existir la posibilidad de que a través de las comunicaciones que realice pueda transmitir datos o informaciones que conculquen la seguridad del establecimiento, trabajadores y otras personas, y la posibilidad de que el interno pueda emitir instrucciones para la realización de actuaciones delictivas por parte de personas relacionadas con él, en el ámbito de la organización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Central de Vigilancia Penitenciaria, tras recabar informe del centro penitenciario, que fue emitido el 5 de mayo de 2021, y dar traslado al Ministerio Fiscal, dictó auto el 18 de mayo de 2021 por el que desestimó la queja del recurrente. El juzgado considera que el mantenimiento de la medida queda amparado en los arts. 51.1 LOGP y 43.1 RP, y que está justificada en este caso por las razones expuestas en el acuerdo del centro de 28 de diciembre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el auto referido el recurrente interpuso recurso de apelación, en el que alegó infracción de los arts. 14, 15, 18.1 y 3 y 25.2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fue desestimado por auto de 15 de julio de 2021 de la Sección Primera de la Sala de lo Penal de la Audiencia Nacional. La sala confirma la justificación del mantenimiento de la medida en función de las razones dadas por el director del centro penitenciario en el informe de 5 de mayo de 2021, obrante en el expediente de queja, en el que, junto a referencias al tipo delictivo, a la organización criminal y a la capacidad y peligrosidad criminal del interno, abunda en las razones de seguridad y buen orden del establecimiento por posible uso fraudulento de las comunicaciones “con el fin de acceder a personas no autorizadas a comunicar con él, vinculadas a él en el ámbito de organizaciones delictivas, pudiendo transmitir datos o consignas que podrían menoscabar la seguridad del establecimiento así como transmitir datos que pudieran facilitar la continuación de su actividad delictiva, bastando como ejemplo el incidente protagonizado por el interno el día 20 de diciembre de 2020 en el que intentó eludir la intervención de las comunicaciones al serle intervenida una libreta con apuntes manuscritos al acceder a locutorio para celebrar una comunicación que el interno conocía que iba a ser intervenida, circunstancia que motivó la apertura de expediente disciplinario”.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desestima la práctica de las diligencias solicitadas en el recurso de apelación, consistentes en la aportación de la totalidad de las grabaciones efectuadas al interno, de un informe sobre el contenido de estas y de la correspondencia intervenida, por estimarlas innecesarias pues “resultaría sorprendente que la intervención de las comunicaciones aportara datos sobre su utilización para la preparación de delitos o para menoscabar la seguridad del establecimiento penitenciario. Es precisamente el hecho de tener intervenidas esas comunicaciones lo que habría impedido esos actos, pero su ausencia no significa necesariamente la innecesaridad de la medida, que puede haber resultado especialmente útil para prevenir la comisión de nuevos delitos. Por ello, la necesidad de la medida de intervención debe deducirse de otras circunstancias diferentes, como la personalidad del interno, los antecedentes sobre su actividad delictiva anterior, su posible conexión constatada con elementos peligrosos o vinculados con la delincuencia, etc.”. Considera la Sala que estas circunstancias concurren en el caso en virtud de la dilatada trayectoria delictiva del recurrente, en el seno de organizaciones criminales, los indicios de criminalidad que motivaron su actual ingreso en prisión provisional, la posibilidad de que mantenga contactos con los integrantes de esas organizaciones criminales para que estas sigan operando o de menoscabar la seguridad del establecimiento penitenciario, lo que considera “probable en la experiencia común sobre la actuación de las organizaciones delictivas vinculadas con el tráfico de drogas”, teniendo fundamento el mantenimiento de la medida en la Ley Orgánica general penitenciaria. Argumenta asimismo que los acuerdos que prolongan la intervención de las comunicaciones no suponen vulneración de derechos siempre que, como ocurre en este caso, se constate que no han desaparecido las circunstancias que la motivaron “y más aún cuando se menciona en el acuerdo de prórroga de la intervención un hecho nuevo que justifica el mantenimiento de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este auto interpuso el recurrente incidente de nulidad de actuaciones, en el que alegó la vulneración de sus derechos a la igualdad (art. 14 CE), a no sufrir penas o tratos inhumanos o degradantes (art. 15 CE), al secreto de las comunicaciones (art. 18.3 CE), y a la tutela judicial efectiva sin indefensión y a la presunción de inocencia (art.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fue inadmitido por providencia de 16 de septiembre de 2021. La sala argumenta que el recurrente “manifiesta su discrepancia con la inadmisión de pruebas realizada en el auto de este tribunal y discute sus fundamentos, insistiendo en la conculcación del principio de legalidad y el de jerarquía normativa y la improcedencia de la intervención de sus comunicaciones. Con tales argumentos, el incidente debe ser inadmitido […]. Es una discrepancia con el contenido del auto, donde se motiva la inadmisión de la prueba que solicitó el recurrente así como la procedencia del mantenimiento de la intervención por el riesgo que supone la trayectoria delictiva del interno anterior a su actual ingreso en prisión y por el hecho de estar siendo investigado por tipos delictivos similares, lo que en absoluto constituye vulneración de su derecho a la presunción de inocencia, como se expresa en el citado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interpuso el 20 de octubre de 2021 recurso de amparo contra el auto de 15 de julio de 2021 y la providencia de 16 de septiembre de 2021 de la Sección Primera de la Sala de lo Penal de la Audiencia Nacional (recurso de apelación núm. 517-2021), fundado en varios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Vulneración del derecho a la tutela judicial efectiva sin indefensión (art. 24.1 CE), con repercusión directa en otros derechos fundamentales (arts. 14, 15, 18.3 y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que la Audiencia Nacional inadmitió el incidente de nulidad sin dar respuesta a la denunciada vulneración del derecho a la tutela judicial efectiva por no haberse practicado las pruebas propuestas en el recurso de apelación. Además, en el auto de apelación se afirmó la existencia de un “hecho nuevo” que no existió en realidad, pues se alude a un expediente disciplinario que estaba archivado tres meses antes de la emisión del informe del director del centro penitenciario en el que se hacía mención de este. La inexistencia del “hecho nuevo” fue acreditada en el incidente de nulidad mediante la aportación de la oportuna documental.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asimismo que carece de fundamento la peligrosidad criminal que se le atribuye, pues ni es delincuente habitual ni tiene una dilatada trayectoria delictiva, y sostiene que el art. 51.5 LOGP, que permite la suspensión o intervención de las comunicaciones orales y escritas de los internos en un centro penitenciario por decisión del director del establecimiento, entra en conflicto con el art. 18.3 CE, porque no prevé la autorización judicial, sino una mera dación de cuenta de la medida al juzgado, posterior a su adopción por el director del centro penitenciario; los acuerdos administrativos de intervención de las comunicaciones del recurrente deben reputarse por ello nulos de pleno derecho. Por otra parte, el acuerdo del director del centro penitenciario debería haberse comunicado al Juzgado Central de Instrucción núm. 3, dado que el recurrente es preso preventivo a disposición de dicho juzgado, careciendo de jurisdicción por ello el Juzgado Central de Vigilancia Penitenciaria. El juzgado tampoco ejerce control alguno de las intervenciones.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se le prohíbe portar documento alguno en las comunicaciones en locutorio, en aplicación de la Instrucción 12/2001, de 29 de julio, de la Secretaría General de Instituciones Penitenciarias (internos de especial seguimiento), lo que afecta a la preparación de la defensa en el sumario por el que está preso.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derecho a la igualdad ante la ley sin que pueda prevalecer discriminación alguna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que la intervención de las comunicaciones que viene sufriendo supone un trato discriminatorio en comparación con el resto de los internos, pues no puede acudir a comunicar en locutorio con documentos, tiene derecho a menos llamadas telefónicas, a enviar un número de cartas limitado a dos semanales y ha de advertir previamente por instancia si va a comunicar con su familia en lengua gallega. Afirma que la citada Instrucción 12/2001 es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Vulneración del derecho a la integridad física y moral, sin sometimiento a penas o tratos inhumanos o degradantes (art. 15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la intervención de las comunicaciones que viene sufriendo implica una suspensión de sus derechos sine die, en virtud de las prórrogas encadenadas de esa medida, y supone una injerencia en su vida privada e íntima, y la de su familia, así como un trato inhumano y degradante, por las restricciones que conlleva.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Vulneración del derecho al secreto de las comunicaciones (art. 18.3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que la intervención de las comunicaciones se produce en virtud de una decisión de la administración penitenciaria, con fundamentos arbitrarios, y sin resolución judicial motivada que lo autorice. Tampoco hay un verdadero control jurisdiccional de la medida. Reitera que el Juzgado Central de Vigilancia Penitenciaria no es el competente al tratarse de un preso preventivo, debiendo darse cuenta al Juzgado Central de Instrucción que conoce del sumario de la decisión de mantenimiento de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Vulneración del derecho a la presunción de inocencia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el recurrente que la administración penitenciaria y la Audiencia Nacional consideran que no delinque porque tiene las comunicaciones intervenidas, lo que constituye una violación de su derecho a la presunción de inocencia al suponer, de forma arbitraria, que puede delinquir en cualquier momento haciendo uso de las comunicaciones con sus familiares, pese a que no se le ha abierto ningún proceso penal desde que en 2018 ingresó en prisión preventiva.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asimismo que el recurso de amparo reviste especial trascendencia constitucional porque las resoluciones impugnadas han vulnerado su derecho a la tutela judicial efectiva, provocando indefensión, al inadmitir la Audiencia Nacional las pruebas solicitadas por unos motivos que no son ciertos (el inexistente “hecho nuevo” y la supuesta dilatada trayectoria delictiva del interno) y porque a pesar de decir que se debe acudir a otros datos para evaluar la idoneidad de la medida de intervención de las comunicaciones, no lo hace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es necesario un pronunciamiento expreso del Tribunal Constitucional acerca de los preceptos aplicados de la Ley Orgánica general penitenciaria y del Reglamento penitenciario, que están en contradicción con la Constitución. El recurrente es un preso preventivo, no vinculado a bandas armadas ni terroristas, sino a la delincuencia común, al que no se le pueden limitar sus derechos fuera de los supuestos expresamente previstos (art. 25.2 CE). No existe resolución judicial que autorice la intervención de las comunicaciones, sino que la medida la adopta la administración penitenciaria, que se limita a dar cuenta a un juzgado, por lo demás incompetente, pues debió hacerlo al juzgado instructor y no al de vigilancia penitenciaria, según los arts. 43.1 y 46.5 RP. Asimismo, es preciso un pronunciamiento del Tribunal sobre si es absolutamente necesario que, por razones de seguridad pública, tenga intervenidas de forma permanente las comunicaciones un preso preventivo con una trayectoria penitenciaria intachable.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presente recurso de amparo se dirige frente al auto de 15 de julio de 2021 de la Sección Primera de la Sala de lo Penal de la Audiencia Nacional, que desestimó el recurso de apelación interpuesto por el recurrente contra el auto del Juzgado Central de Vigilancia Penitenciaria que desestimó la queja que había formulado contra el acuerdo del director del centro penitenciario Madrid VII-Estremera de 28 de diciembre de 2020 de mantenimiento de la intervención de sus comunicaciones (intervención núm. 22-2021), por un periodo de seis meses (desde el 28 de diciembre de hasta el 28 de junio de 2021). Se impugna asimismo en amparo la providencia de 16 de septiembre de 2021, que inadmitió el incidente de nulidad promovido contra el auto desestimatorio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términos expuestos en el relato de antecedentes, el recurrente alega que las resoluciones judiciales impugnadas, en cuanto confirman el mantenimiento de la intervención de sus comunicaciones acordado por el director del centro penitenciario, han vulnerado sus derechos a la tutela judicial efectiva sin indefensión (art. 24.1 CE), a la igualdad ante la ley sin que pueda prevalecer discriminación alguna (art. 14 CE), a la integridad física y moral (art. 15 CE), al secreto de las comunicaciones (art. 18.3 CE) y a la presunción de inocencia (art. 24.2 CE). De manera particular, sostiene que el art. 51.5 LOGP, que permite la suspensión o intervención de las comunicaciones orales y escritas de los internos en un centro penitenciario por decisión del director del centro penitenciario, entra en contradicción con la Constitución, porque sustituye la autorización judicial de la intervención por una mera dación de cuenta de la medida al juzgado a posteriori.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Inadmisión del recurso de amparo por carecer de especial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presente recurso de amparo carece de la especial trascendencia constitucional exigida como condición de admisibilidad del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problema constitucional planteado en la presente demanda de amparo (afectación de diversos derechos fundamentales, particularmente los garantizados en los arts. 14, 18.3 y 24 CE, porque el legislador autoriza al director del centro penitenciario a intervenir o suspender motivadamente las comunicaciones de los internos, dando cuenta a la autoridad judicial competente), no encaja en ninguno de los casos en los que, conforme al art. 50.1 b) LOTC, y atendiendo a lo señalado en la STC 155/2009, de 25 de junio, FJ 2, cabe apreciar que el contenido del recurso de amparo justifica una decisión sobre el fondo en razón de su especial trascendencia constitucional (por su importancia para la interpretación de la Constitución, para su aplicación o para su general eficacia, o para la determinación del contenido y alcance de los derechos fundamentales), toda vez que ese problema ya ha sido resuelto por este tribunal en reiterada jurisprudencia, sin que se advierta que concurran razones para perfilar, aclarar o modificar esa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Acerca de la medida de suspensión e intervención de comunicaciones de los presos, prevista en el art. 51.5 LOGP (y desarrollada en el art. 43.1 RP) existe una consolidada doctrina, contenida en las SSTC 183/1994, de 20 de junio; 170/1996, de 29 de octubre; 128/1997, de 14 de julio; 175/1997, de 27 de octubre; 200/1997, de 24 de noviembre; 106/2001, de 23 de abril, y 194/2002, de 28 de octubre, entre otras), dictadas en recursos de amparo, que no solo no pone en cuestión la constitucionalidad de esa disposición legal, sino que, antes bien, afirma que “resulta oportuno y conveniente destacar que el art. 51.5 LOGP, en cuanto obliga a la administración penitenciaria a dar cuenta de la medida a la autoridad judicial competente, consagra una auténtica garantía, con la que se pretende que el control judicial de la intervención administrativa no dependa del eventual ejercicio por el interno de los recursos procedentes” (STC 170/1996,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esa doctrina señala que “la necesidad legal de la comunicación de la medida adoptada a la autoridad judicial competente ha de ser inmediata, con el objeto de que esta ratifique, anule o subsane la decisión administrativa, es decir, ejerza con plenitud su competencia revisora sobre la restricción del derecho fundamental”. De suerte que, “rectamente entendida esta dación de cuentas a la autoridad judicial competente implica ‘no solo la mera comunicación del órgano administrativo al órgano judicial para conocimiento de este, sino un verdadero control jurisdiccional de la medida efectuado a posteriori mediante una resolución motivada’ (STC 175/1997, de 27 de octubre, FJ 3)” (SSTC 106/2001, FJ 6, y 194/2002,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misma doctrina constitucional, la medida prevista en el art. 51.5 LOGP tiene carácter excepcional, por lo que la intervención de las comunicaciones ha de ser estrictamente necesaria para la consecución de los fines que la justifican (razones de seguridad, buen orden del establecimiento e interés del tratamiento) y no debe adoptarse con carácter general e indiscriminado, ni por más tiempo del que sea necesario para los fines que la justifican, todo lo cual ha de acreditarse en el acuerdo de intervención del director del centro penitenciario. En fin, ha de darse cuenta de la medida a la autoridad judicial competente (el juez de vigilancia penitenciaria en el caso de penados o a la autoridad judicial de la que dependa el interno, si se trata de detenidos o presos preventivos), para que esta ejerza con plenitud su competencia revisora sobre la restricción del derecho fundamental, como se ha señalado.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por tanto, doctrina constitucional consolidada que no pone en discusión la legitimidad constitucional del control judicial ex post de la medida de intervención o suspensión de las comunicaciones de los presos prevista en el art. 51.5 LOGP.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cumple señalar que, en el presente caso, de las actuaciones resulta que el acuerdo del director del centro penitenciario de mantenimiento de la medida de intervención de las comunicaciones del recurrente fue notificado a este y puesto inmediatamente en conocimiento del juzgado de vigilancia penitenciaria, como exige el art. 51.5 LOGP. Además, ese acuerdo, confirmado en vía judicial, ofrece una motivación suficiente en los términos exigidos por la citada doctrina constitucional; el mantenimiento de la medida de intervención de las comunicaciones se fija por un periodo de seis meses y de forma individualizada, razonando que es necesaria para la consecución de los fines que la justifican en este caso (razones de seguridad y buen orden del establecimiento), atendiendo a las circunstancias que concurren en el interno: (i) la gravedad de los delitos, relacionados con el narcotráfico y el blanqueo de capitales, que habría cometido aquel formando parte de una organización criminal en la que desempeñaría un papel relevante; (ii) la capacidad criminal y la peligrosidad del interno, al existir la posibilidad de que a través de las comunicaciones reglamentarias que realice con familiares, amigos y otras personas autorizadas pueda transmitir datos o informaciones que conculquen la seguridad del establecimiento, los trabajadores de este y otras personas, así como emitir instrucciones para la realización de actuaciones delictivas por parte de personas relacionadas con él, en el ámbito de la organización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esta Sección no encuentra motivos para modificar una doctrina consolidada, cuya concreta aplicación al caso es el fundamento esencial del recurso de amparo. La demanda presenta un fuerte contenido fáctico ajeno a esta jurisdicción, ya que la medida se enmarca en el desarrollo del tratamiento penitenciario de un interno que, por su propia naturaleza, presenta un carácter progresivo o evolutivo.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Precisamente por ello, conviene advertir que, por auto de 23 de diciembre de 2021, la Sección Primera de la Sala de lo Penal de la Audiencia Nacional, ejerciendo el control jurisdiccional de la medida de que le corresponde, acordó dejar sin efecto la prórroga de la intervención de las comunicaciones del recurrente decretada por un posterior acuerdo del director del centro penitenciario de 28 de junio de 2021, al entender que ya no concurrían las circunstancias que lo habían motivado.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núm. 6640-2021, interpuesto por don José Ramón Prado Bugallo.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julio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Ramón Sáez Valcárcel al auto dictado en el recurso de amparo núm. 6640-2021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en la que se apoya el auto, manifiesto mi discrepancia con la decisión de no admitir el recurso de amparo y las razones que se aducen para fundarla. Considero que el recurso debió admitirse por poseer especial trascendencia constitucional y ser verosímiles las lesiones denunciadas.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Fundamento de la decisión de no admitir 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decisión mayoritaria, tras identificar las quejas del demandante, vinculadas a la intervención de sus comunicaciones acordada por el director del centro penitenciario, estima que el recurso de amparo carece de la especial trascendencia constitucional exigida como condición de admisibilidad [art. 50.1 b) LOTC]. Se sostiene que el problema constitucional que se plantea ya ha sido resuelto por el Tribunal en reiterada jurisprudencia sobre la medida prevista en el art. 51.5 LOGP de suspensión e intervención de las comunicaciones de los internos, que sintetiza, sin que se adviertan razones para perfilar, aclarar o modificar dicha doctrina constitucional, en particular en lo que atañe a la legitimidad constitucional del control judicial ex post de la medida de intervención. Descartado el interés constitucional trascendente, se añade que en el caso concreto la actuación de la autoridad penitenciaria fue suficientemente motivada y la medida se puso en inmediato conocimiento del órgano judicial, como exige la referida doctrina consolidada, sin que, por lo demás, corresponda a este tribunal un análisis fáctico detallado.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Discrepo de esta opinión, tanto en lo relativo a la concurrencia de especial trascendencia constitucional como en la apreciación en este trámite de admisibilidad de una inexistencia manifiesta de lesión.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Inexistencia de un análisis de la constitucionalidad del art. 51.5 LOGP en relación con la supresión general de la garantía de resolución judicial previa del art. 18.3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duda, el Tribunal Constitucional se ha pronunciado en numerosas ocasiones sobre la intervención de las comunicaciones de los internos del art. 51.5 LOGP en resoluciones que versan sobre distintos aspectos de su régimen jurídico. En lo que ahora interesa, cabe recordar que esas resoluciones (por todas, con ulteriores referencias, STC 106/2001, de 23 de abril) han insistido en tres aspectos. (i) El contenido del derecho al secreto de las comunicaciones de las personas internas “no es, sin más, el constitucionalmente declarado en los términos del art. 18.3 CE, sino, en virtud de la interpretación sistemática de este precepto en relación con el art. 25.2 CE, el que resulte de su configuración por el legislador, en el supuesto de que por la ley penitenciaria se hayan dispuesto limitaciones específicas del mismo y sin perjuicio de que esos límites se encuentren, a su vez, sometidos a sus propios presupuestos de constitucionalidad”. (ii) La medida de intervención o suspensión es excepcional y debe resultar necesaria, objetiva, subjetiva y temporalmente, sin que pueda adoptarse con carácter general y sine die. (iii) Se requiere el ejercicio pleno de la competencia revisora por el juzgado de vigilancia penitenciaria, al que debe informarse de inmediato por la autoridad penitenciaria, de modo que exista un verdadero control jurisdiccional de la medida a posteriori.</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Sin embargo, no hay un pronunciamiento sobre la constitucionalidad conforme al art. 18.3 CE de la renuncia a la autorización judicial previa de la intervención que introduce el art. 51.5 LOGP, ausencia a la que anuda el demandante la especial trascendencia constitucional del recurso desde la consideración de que la citada disposición no es constitucionalmente legítima. A mi juicio, existen razones que avalan esa posible contradicción con el art. 18.3 CE, que no puede excluirse a limine, lo que determina que, ante la ausencia de un análisis específico de la cuestión en la doctrina concernida del Tribunal, sea apreciable el motivo de especial trascendencia constitucional alegado en el recurso, que el origen de la lesión se halla en la ley [STC 155/2009, FJ 2, supuesto c)], al tiempo que la duda sobre la constitucionalidad de la norma impide que pueda descartarse la existencia de lesión.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reserva de previa autorización judicial del derecho al secreto de las comunicaciones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 18.3 CE garantiza el secreto de las comunicaciones “salvo resolución judicial”. Fija así la autorización judicial como garantía constitucional expresa del derecho, más allá de que las exigencias propias del principio de proporcionalidad como parámetro de control constitucional de las medidas restrictivas de derechos incluyan asimismo el principio jurisdiccional. Un repaso de las disposiciones del ordenamiento que habilitan intervenciones en el derecho al secreto de las comunicaciones —muy señaladamente las previsiones de la Ley de enjuiciamiento criminal sobre medidas de investigación limitativas del secreto de las comunicaciones (arts. 579 y ss.)— confirman que, en consonancia con la tutela reforzada del art. 18.3 CE, la injerencia en el derecho se condiciona a la existencia de una autorización judicial previa a la que acompaña además un estricto control judicial ulterior. En el mismo sentido de acomodarse a las exigencias constitucionales, la Ley Orgánica 2/2002, de 6 de mayo, reguladora del control judicial del Centro Nacional de Inteligencia, introduce la necesidad de autorización judicial previa para adoptar medidas que afecten a la inviolabilidad del domicilio y al secreto de las comunicaciones.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Frente a este panorama general, solo de forma muy excepcional y constreñida se prevé la posibilidad de una intervención adoptada por la autoridad administrativa: en caso de urgencia, cuando las investigaciones se realicen para la averiguación de delitos relacionados con la actuación de bandas armadas o elementos terroristas y existan razones fundadas que hagan imprescindible la medida [arts. 579.4 y 588 ter d) LECrim]. Si se dan ambas circunstancias, tipo de delito y urgencia, la ley admite que pueda autorizar la intromisión el ministro del Interior o, en su defecto, el director de Seguridad del Estado. Es en este supuesto extraordinario donde la ley dispone un control judicial a posteriori, por cuanto se obliga a comunicar la medida por escrito motivado al juez competente inmediatamente y siempre antes de veinticuatro horas, quien, también de forma motivada, revocará o confirmará tal resolución en un plazo máximo de setenta y dos horas desde que fue ordenada.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La renuncia total a la previa autorización judicial en la intervención de las comunicaciones por motivos penitenciarios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Cuando se trata de la intervención de las comunicaciones en el ámbito penitenciario, con base en el art. 51.5 LOGP, desaparece el esquema de regla de exclusividad jurisdiccional y, solo por excepción, autorización gubernativa. El precepto establece que “las comunicaciones orales y escritas previstas en este artículo podrán ser suspendidas o intervenidas motivadamente por el director del establecimiento, dando cuenta a la autoridad judicial competente”. La injerencia en el derecho (intervención o incluso suspensión) por motivos penitenciarios, que el apartado primero identifica con razones de seguridad, de interés de tratamiento y de buen orden del establecimiento, se acuerda por la autoridad penitenciaria con la sola exigencia legal de dar cuenta a la autoridad judicial competente. En otras palabras, la excepción se convierte en regla, y lo hace sin ningún condicionante alusivo a la imposibilidad de esperar a una autorización judicial y con la mera exigencia de una dación de cuentas al juez, sin establecer siquiera un estricto e inmediato control judicial ex post, requisitos que realmente ha introducido la doctrina constitucional, completando las parcas condiciones del precepto con lo dispuesto para la excepción a la previa intervención judicial en la regulación sobre la intervención de las comunicaciones para investigar delitos.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Considero que la incompatibilidad que surge prima facie de la confrontación del art. 18.3 CE, que solo prevé injerencias en el secreto por resolución judicial, con el art. 51.5 LOGP, que habilita al director del centro penitenciario para intervenir o suspender las comunicaciones, no queda desvirtuada ni por la condición de preso o interno de la persona afectada —sin olvidar que se verá restringido el derecho fundamental de los terceros intervinientes en la comunicación— ni por la concurrencia de circunstancias que aconsejen facultar con carácter general a la autoridad penitenciaria para adoptar la medida. Si bien es cierto, como recordé antes, que la doctrina constitucional entiende que el art. 25.2 CE incide en el contenido del derecho al secreto de las comunicaciones declarado en los términos del art. 18.3 CE, que se ve afectado por las limitaciones que haya podido disponer el legislador, no lo es menos que afirma que esos límites están sometidos a sus propios presupuestos de constitucionalidad y que el art. 25.2 CE resalta que el penado —por cierto, no el preso preventivo— disfrutará de los derechos fundamentales salvo en lo expresamente restringido por el contenido del fallo condenatorio, el sentido de la pena y la ley penitenciaria. La ley no puede, en principio, suprimir una garantía que forma parte del contenido esencial del derecho fundamental.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Hay que tener presente aquí que resulta irrelevante constitucionalmente la alegación de una relación de sujeción especial, la del interno con la administración penitenciaria, como fuente de restricción de derechos fundamentales adicional a las que afectan a todas las personas y a las que derivan de los límites específicos que dispone el art. 25.2 CE, que define el estatuto jurídico-constitucional del recluso. La alusión a una relación de sujeción especial puede operar, si se quiere, como concepto descriptivo, explicativo o nominativo de la situación jurídica del preso, sin duda en una posición fáctica de dependencia de la institución penitenciaria, pero no como fundamento autónomo o propio de una restricción adicional o más intensa de sus derechos fundamentales. Así lo ha entendido el Tribunal cuando destaca que lo determinante para la configuración constitucional del ejercicio de los derechos fundamentales por las personas recluidas en centros penitenciarios es el marco previsto en el art. 25.2 CE y la relación de sujeción especial “deber ser siempre entendida en un sentido reductivo compatible con el valor preferente que corresponde a los derechos fundamentales” (STC 120/1990, de 27 de junio, FJ 6; en la misma línea, entre otras, SSTC 128/2013, de 3 de junio, FJ 3 ; 171/2013, de 7 de octubre, FJ 2; 145/2014, de 22 de septiembre, FJ 7; 6/2020, de 27 de enero, FJ 3, o 18/2020, FJ 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estas coordenadas, la afectación a la garantía jurisdiccional del secreto de las comunicaciones exigirá una justificación sobre su legitimidad, así como de la idoneidad, necesidad y proporcionalidad estricta de la renuncia a la previa intervención del juez. Así lo analizó y apreció el Tribunal en el caso de la excepción para casos urgentes en la lucha contra la actuación de bandas armadas y el terrorismo de la intervención de las comunicaciones en el proceso penal, que manifestó que “[a]l suprimir la intervención judicial previa solo en supuestos excepcionales cualificados por la urgencia, el legislador ha realizado una adecuada ponderación de la efectividad de la suspensión y de la intervención judicial” (STC 199/1987, de 16 de diciembre, FJ 10). Sin embargo, no se percibe que en la intervención de las comunicaciones de los internos concurra una situación estructural y universal de urgencia que justifique la renuncia a la garantía, como tampoco se vislumbra que la posición de conocimiento sobre las circunstancias que aconsejan la medida por la autoridad administrativa sea diversa a la que tiene la policía que dirige su oficio al juez para que autorice una injerencia en el derecho. Al margen de que resulta difícil apreciar la satisfacción de las exigencias del canon de proporcionalidad cuando la supresión de la garantía constituye la regla y no la excepción, lo relevante en este punto y la razón de mi desacuerdo con la decisión de la mayoría es que ese análisis debiera ser objeto de deliberación y decisión en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Necesidad de analizar la constitucionalidad de la concreta restricción acordada en el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admisión del recurso, dado que detenta especial trascendencia constitucional por poderse imputar la lesión a la ley, no solo implica afirmar que la vulneración iusfundamental no puede excluirse de inicio desde tal perspectiva, sino que hubiera permitido al Tribunal examinar la consistencia de otras quejas planteadas en la demanda que no considero en absoluto descartables en este momento. En particular y dicho sintéticamente, (i) el recurso a una motivación estereotipada en el acuerdo de intervención, que se limita a reformular los fines que legalmente habilitan la intervención (art. 51.1 LOGP) sin desarrollo argumental más que alusiones genéricas a la gravedad de los delitos por los que se investiga al demandante y la intervención de una organización criminal; (ii) la alusión a la finalidad de evitar la comisión de delitos en el exterior del centro penitenciario por parte de terceros, ajena a los objetivos legales de la medida penitenciaria y más próxima a las intervenciones en el ámbito de la investigación penal; (iii) la importancia de la condición de preso preventivo del demandante, no obstante estar amparado por la presunción de inocencia; o, en fin, (iv) la sostenibilidad de intervenciones acordadas por plazos extensos (seis meses) y prorrogadas en el tiempo, aparentemente desproporcionadas conforme a la doctrina del Tribunal Constitucional (por todas, STC106/2001, de 23 de abril, FJ 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Conclusión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el recurso ofrecía al Tribunal la oportunidad de examinar la compatibilidad con el art. 18.3 CE de la regulación de la intervención de las comunicaciones en el ámbito penitenciario desde la perspectiva de la exigencia de previa autorización judicial, al tiempo que nos hubiera permitido analizar la admisibilidad de la práctica penitenciaria de acordar la intromisión en el derecho de un preso preventivo durante largos periodos de tiempo sobre la base de imprecisos, y ni siquiera indiciariamente acreditados, riesgos.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catorce de julio de dos mil veintidós.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