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26 de septiembre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las magistradas doña María Luisa Balaguer Callejón y doña Inmaculada Montalbán Huertas, en el recurso de amparo número 5094-2021, promovido por doña María Henar Castaño Jorge en relación con los autos de 25 de marzo y 7 de julio de 2021, dictados por el Juzgado de Primera Instancia núm. 2 de Fuenlabrada en el procedimiento de ejecución hipotecaria núm. 826-2015,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22 de julio de 2021, ratificado por el procurador de los tribunales don Luis Arredondo Sanz —designado por el Colegio de Abogados de Madrid el 3 de septiembre de 2021—, en nombre y representación de doña María Henar Castaño Jorge, y bajo la dirección letrada de doña Catherine Pérez-Ruibal del Águila, se interpuso recurso de amparo contra los autos de 25 de marzo y 7 de julio de 2021, dictados por el Juzgado de Primera Instancia núm. 2 de Fuenlabrada en el procedimiento de ejecución hipotecaria núm. 826-2015, por la que se inadmite la solicitud de revisión de diversas cláusulas abusivas y se confirma dicha decisión al desestimar el recurso de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núm. 2 de Fuenlabrada se sigue procedimiento de ejecución hipotecaria núm. 826-2015, promovido por Ibercaja Banco, S.A., (antes, Caja de Ahorros y Monte de Piedad de Zaragoza, Aragón y Rioja, Ibercaja), frente a la demandante de amparo y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28 de mayo de 2015 se acordó despachar la ejecución contra los ejecutados, y una vez designado abogado y procurador a la demandante de amparo, el 11 de septiembre de 2015 presentó escrito de oposición a la ejecución, en el que alegó que los “contratos suscritos contienen cláusulas abusivas”, y solicitó la nulidad de 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10 de febrero de 2016, el Juzgado de Primera Instancia núm. 2 de Fuenlabrada, declaró nula por abusiva la cláusula de intereses moratorios, desestimando el carácter abusivo de la cláusula de vencimiento anticipado y del pacto de liquidez, indicando que el resto de “planteamientos exceden del ámbito de la presente 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25 de mayo de 2017, se acordó la suspensión del curso de las actuaciones hasta la resolución de la cuestión prejudicial planteada ante el Tribunal de Justicia de la Unión Europea por el Tribunal Supremo mediante auto de 8 de febrero de 2017. Resuelta la cuestión prejudicial por STJUE de 26 de marzo de 2019, el Juzgado de Primera Instancia núm. 2 de Fuenlabrada dictó auto el 25 de marzo de 2021 por el que acordó alzar la suspensión y proseguir el proceso de ejecución. En su razonamiento se indicaba: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dictó sentencia del Tribunal de Justicia de la Unión Europea de 26 de marzo de 2019 y la sentencia del Tribunal Supremo de 11 de septiembre de 2019 que recoge las pautas u orientaciones jurisprudenciales a los procedimientos de ejecución hipotecaria en curso, en los que no se haya producido todavía la entrega de la posesión al adquirente’.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en el presente proceso ya existe un pronunciamiento firme que rechazó la nulidad de la cláusula de vencimiento anticipado, auto de 10 de febrero de 2016 que goza de la autoridad de cosa juzgada. Resolución en la que se aplicaba el criterio mantenido en ese momento por la Audiencia Provincial de Madrid y recogido en la Junta de Magistrados de las Secciones Civiles de la Audiencia Provincial de Madrid celebrada el día 30 de septiembre de 2014, por lo que no procede ahora efectuar el análisis del carácter abusivo de la referida cláusula.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la sentencia de la Sala 1ª del Tribunal de Justicia de la Unión Europea de 26 de enero de 2017 en su párrafo 54, al responder a las cuestiones prejudiciales primera a tercera, nos da la respuesta indicando que ‘[l]a Directiva 93/13 debe interpretarse en el sentido de que no se opone a una norma nacional, como la que resulta del artículo 207 de la LEC, que impide al juez nacional realizar de oficio un nuevo examen del carácter abusivo de las cláusulas de un contrato cuando ya existe un pronunciamiento sobre la legalidad del conjunto de las cláusulas de ese contrato a la luz de la citada Directiva mediante una resolución con fuerza de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demandante de amparo, mediante escrito de 6 de abril de 2021, interpuso recurso de reposición frente al mencionado auto al considerar que se había vulnerado su derecho a la tutela judicial efectiva, con la consiguiente indefensión, por cuanto no se han analizado de oficio todas las cláusulas abusivas existentes en el presente contrato de préstamo ya que el juzgado se limitó a analizar sólo las cláusulas alegadas, pero no realizó el examen de oficio de todas las cláusulas por lo que no existe cosa juzgada de las pretensiones. Con cita de la STC 31/2019, de 28 de febrero, refiere que el Tribunal Constitucional, interpretando las resoluciones del Tribunal de Justicia, entiende que no se ha producido el efecto de cosa juzgada y abre la vía a la posible alegación de abusividad de aquellas cláusulas que no cuenten con una resolución expresa sobre su validez. Añade, que el contrato de préstamo con garantía hipotecaria tiene al menos nueve cláusulas abusivas evidentes: la de vencimiento anticipado, intereses de demora, cláusula suelo, intereses ordinarios devengados, en base año de 360 días, tipo de interés variable, índice de referencia de préstamos hipotecarios, comisiones, gastos a cargo de la prestataria, imposición de sociedad tasadora, prohibición de arrendar, enajenar y gravar,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del Juzgado de Primera Instancia núm. 2 de Fuenlabrada de 3 de julio de 2021 se desestimó el recurso de reposición. En la fundamentación del auto se indica que el recurso debe ser desestimado puesto que en su momento se formuló por la ahora recurrente oposición a la ejecución, resuelta por auto de 10 de febrero de 2016, que devino firme. Auto que produce efecto de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En fecha 25 de febrero de 2022 se dictó diligencia de ordenación por la letrada de la administración de justicia, en la que se daba traslado a la entidad ejecutante por el plazo de cinco días para que, si le conviniere, solicite la adjudicación del inmueble subastado.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denuncia en primer lugar la vulneración del derecho a la tutela judicial efectiva (art. 24.1 CE), y a no sufrir indefensión como consecuencia de la negativa del juzgado a controlar la abusividad de todas las cláusulas del contrato de préstamo con garantía hipotecaria; y en segundo lugar considera que se ha vulnerado el principio de supremacía del Derecho de la Unión y de la jurisprudencia del Tribunal de Justicia de la Unión Europea, quebrantamiento del derecho a la tutela judicial efectiva (art. 24.1 CE), como manifestación del derecho a un juicio justo, ex art. 6 del Convenio europeo de derechos humanos, por incumplimiento del órgano jurisdiccional de la doctrina plasmada en la STC 31/2019, de 28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Refiere que en el auto de 10 de enero de 2016, no se realizó un control de oficio de todas las cláusulas abusivas existentes en el contrato limitándose el juzgado a analizar las propuestas en ese momento por esta parte, concretamente la de intereses moratorios, de vencimiento anticipado y de liquidez, sin entrar en el análisis de todas las existentes, pues el contrato suscrito contiene al menos nueve cláusulas abusivas: la de vencimiento anticipado, intereses de demora, cláusula suelo, intereses ordinarios devengados en base al año de 360 días, tipo de interés variable, índice de referencia de préstamos hipotecarios, comisiones, gastos a cargo de la prestataria, imposición de sociedad tasadora, prohibición de arrendar, enajenar y gravar, entre otras que, de acuerdo con el derecho europeo, el órgano judicial estaba obligado a realizar un control de oficio y a anular las citadas cláusulas abusivas.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resulta concluyente, en efecto, la especial incidencia que se hizo en la STC 31/2019 a la irrazonabilidad que, desde la perspectiva del artículo 24.1 CE, implica argumentar que se había realizado un determinado control judicial en una resolución que carecía de ningún razonamiento expreso sobre el particular, como ocurre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otra parte considera que la jurisprudencia del Tribunal de Justicia de la Unión Europea en materia de cláusulas abusivas, obliga a los tribunales a examinar de oficio y en cualquier momento del proceso el carácter abusivo de las cláusulas del contrato sobre las que no ha recaído una decisión judicial con la fuerza de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solicita que se acuerde declarar vulnerado el derecho de la demandante de amparo a la tutela judicial efectiva (art. 24.1 CE) y se declare la nulidad de los autos de 25 de marzo y de 7 de julio dictados por el Juzgado de Primera Instancia núm. 2 de Fuenlabrada en el procedimiento de ejecución hipotecaria núm. 826-2015, así como las resoluciones posteriores a aquellos.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y con el fin de evitar daños y perjuicios de imposible o difícil reparación solicita la suspensión cautelar de la ejecución mientras se resuelve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julio de 2022, la Sala Primera de este tribunal acordó admitir a trámite el recurso de amparo y dirigir atenta comunicación al Juzgado de Primera Instancia núm. 2 de Fuenlabrada, a fin de que, en plazo que no excediera de diez días, emplace a quienes hubieran sido parte en el proceso del que trae causa el presente recurso de amparo, excepto la parte recurrente en amparo, para que pudieran comparecer en el mismo en el plazo de diez días. También se acordó formar la correspondiente pieza separada de suspensión, en la que, por diligencia de ordenación de la misma fecha, conforme a lo dispuesto en el art. 56 de la Ley Orgánica del Tribunal Constitucional (LOTC), se concedió un plazo común de tres días a la parte solicitante de amparo y al Ministerio Fiscal para que alegaran lo que estimasen pertinente sobre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 escrito registrado el 27 de junio de 2022, la parte recurrente presentó sus alegaciones, ampliando las expuestas en la demanda de amparo respecto de la solicitud de suspensión. Afirma que carece de ingresos regulares, es madre de tres hijos, dos de ellos menores de edad, todos ellos residen en la misma vivienda y no tienen otro lugar donde vivir. Por otro lado, se da la circunstancia que la parte contraria es una entidad financiera, concretamente Ibercaja Banco, S.A., propietaria de numerosas viviendas desocupadas, por lo que, el hecho de que se suspenda la ejecución de la sentencia, no supone una grave perturbación de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presentado el 14 de julio de 2022, formuló alegaciones oponiéndose a la suspensión de la ejecución solicitada y en su lugar, considera procedente acordar la medida cautelar de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la doctrina constitucional en la materia, destaca el fiscal, que las circunstancias que presenta el supuesto sometido a consideración no permiten afirmar que la continuación del curso del procedimiento judicial, incluso si se produjera un desplazamiento posesorio, provoque por sí sola un perjuicio determinante de la perdida de la finalidad del presente recurso de amparo. Es por ello que se opone a la medida de suspensión de la ejecución interesada, y considera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de las medidas provisionales de suspensión del procedimiento de ejecución hipotecaria núm. 826-2015 cuestionado y de anotación preventiva de la demanda de amparo en el registro de la propiedad, interesadas la primera por la demandante de amparo y la segunda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la demandante razones familiares y económicas para que se acuerde la suspensión del procedimiento de ejecución hipotecaria. El fiscal considera que de las actuaciones remitidas no resulta que la continuación del curso del procedimiento judicial, incluso si se produjera un desplazamiento posesorio, provoque por sí solo un perjuicio determinante de la pérdida de la finalidad del recurso de amparo. Afirma que procede la anotación preventiva de la demanda de amparo al objeto de evitar actos de disposición de la vivienda afectada en favor de terceros de carácter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admitido de forma reiterada —entre otros muchos, en los AATC 74/2013, de 8 de abril, FJ 2; 152/2013, de 8 de julio, FJ 2; 37/2014, de 10 de febrero, FJ 2; 59/2015, de 16 de marzo, FJ 2; 48/2016, de 29 de febrero, FJ 2; 106/2017, de 17 de julio, FJ 1, y 21/2018, de 5 de marzo, FJ 3—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que resulta procedente la suspensión solicitada. Para alcanzar dicha conclusión debe tomarse en consideración que se ha celebrado la subasta del inmueble hipotecado, que constituye la vivienda de la recurrente en amparo y de sus hijos y se ha facultado a la ejecutante para que solicite la adjudicación del inmueble subastado mediante diligencia de ordenación de 25 de febrero de 2022, dictada por la letrada de la administración de justicia. Dicha situación permite advertir el previsible riesgo de que por la ejecutante se promueva la ejecución del desalojo y el lanzamiento de la ejecutada y de su familia de la vivienda. Ello abocaría a una situación difícilmente reversible, que podría hacer perder al presente recurso de amparo su finalidad. Por lo demás, no se advierte en este momento procesal, atendidas las particulares circunstancias del presente caso, que la suspensión de la ejecución pueda entrañar una perturbación grave a un interés constitucionalmente protegido o a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suspensión cautelar solicitada del procedimiento de ejecución hipotecaria núm. 826-2015, seguido en el Juzgado de Primera Instancia núm. 2 de Fuenlabrada.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