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418-2021, promovido por la Federación de Asociaciones Culturales Radio Televisión Adventista de España (FACRAE)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enero de 2021 el procurador de los tribunales don Joaquín Canibaño Martín, en nombre y representación de la Federación de Asociaciones Culturales Radio Televisión Adventista de España (FACRAE), bajo la dirección del letrado don Jaime Rodríguez Díez, presentó en el registro de este tribunal recurso de amparo contra la desestimación por silencio administrativo negativo de la solicitud de convocatoria de concurso para la adjudicación de las licencias disponibles de comunicación audiovisual de radiodifusión sonora digital de ámbito local en la Comunidad Autónoma de Canarias y contra la resolución núm. 48-2018, de 10 de julio, de la Viceconsejería de comunicación y relaciones con los medios de Canarias, que acuerda el archivo de la solicitud por haber desaparecido el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formuló ante el Gobierno de Canarias solicitud interesando la convocatoria del concurso público correspondiente a las licencias de servicios audiovisuales de radiodifusión sonora digital terrestre vacantes. Frente a la desestimación por silencio administrativo negativo, interpuso recurso contencioso-administrativo núm. 90-2018. Recurso que se extendió a la resolución núm. 48-2018, de 10 de julio, de la Viceconsejería de comunicación y relaciones con los medios de Canarias, que acuerda, de conformidad con el párrafo segundo del art. 27.4 de la Ley 7/2010, de 31 de marzo, general de la comunicación audiovisual (en adelante Ley 7/2010), el archivo de la solicitud por haber desaparecido el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(Santa Cruz de Tenerife) por sentencia núm. 277/2019, de 2 de septiembre, desestima el recurso conforme a los argumentos ya esgrimidos en otras sentencias de la misma Sala (núm. 69/2018 y 28/2019) en las que se resolvía idéntica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casación interpuesto por la representación procesal de FACRAE fue desestimado por la Sala de lo Contencioso-Administrativo del Tribunal Supremo en sentencia 1789/2020, de 17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 dos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 la libertad de expresión e información, en su vertiente del derecho de creación de medios de comunicación [art. 20.1 a) y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considera que su vulneración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Se argumenta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aplicación retroactiva de la Ley 7/2010, general de la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jurisprudencia del Tribunal Supremo incurre en una contradicción lesiva del art. 20.1 a) y d) CE, pues otorga un tratamiento diferenciado, según se trate de televisión digital terrestre local o de radio digital terrestre local, a la ausencia de convocatoria de concursos de adjudicación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27 de la Ley 7/2010 es una norma básica que, como tal, ha de ser objeto de una interpretación uniforme en el conjunto del Estado. La interpretación realizada por el Tribunal Supremo del art. 27.4 de la Ley 7/2010 en el caso de Canarias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la aparición de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y (v) se afecta de manera directa al derecho fundamental previsto en el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En este escrito de alegaciones se incluye, como pretensión subsidiaria, la suspensión parcial de la sentencia confirmatoria en lo que respecta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10 de octubre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10 de noviembre de 2022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El Ministerio Fiscal ha interesado la desestimación de esta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una desestimación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