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170</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28 de noviembre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en el recurso de amparo núm. 8144-2021, promovido por don Juan Carlos Ángel Bernal, contra la providencia de 28 de octubre de 2021 de la Sección Quinta de la Audiencia Provincial de Murcia (con sede en Cartagena),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22 de diciembre de 2021, tuvo entrada en el registro general de este tribunal un escrito de la procuradora de los tribunales doña Isabel Núñez Zamorano, en representación de don Juan Carlos Ángel Bernal, bajo la dirección del letrado don Carlos Francisco García Gil, por el que se interpuso recurso de amparo contra la providencia de 28 de octubre de 2021 dictada por la Sección Quinta de la Audiencia Provincial de Murcia (con sede en Cartagena), que inadmitió un incidente de nulidad de actuaciones promovido por la parte actora contra el auto de 8 de junio de 2021, por el que se resuelve el recurso de apelación núm. 149-2020, interpuesto contra el auto de 13 de enero de 2020 derivado del juicio de ejecución hipotecaria núm. 199-2016, seguido ante el Juzgado de Primera Instancia núm. 5 de Cartagena.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fecha 13 de enero de 2020, el Juzgado de Primera Instancia núm. 5 de Cartagena dictó un auto por el que se alzó la suspensión del juicio de ejecución hipotecaria núm. 199-2016, declarando la nulidad de la cláusula de vencimiento anticipado contenida en el título ejecutivo, y el consiguiente sobreseimiento del procedimiento seguido a instancias de la entidad Cajamar Caja Rural, S.C.C., contra el ahora recurrente en amparo. El fundamento de esta resolución se encontraba en la STJUE de 26 de marzo de 2019 y en la ulterior STS de 11 de septiembre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entidad bancaria ejecutante interpuso recurso de apelación contra el citado auto, que fue estimado por la Sección Quinta de la Audiencia Provincial de Murcia (con sede en Cartagena) mediante auto 107/2021, de 8 de junio, por el que se acordó la continuación del procedimiento hipotecario. Esta resolución estaba basada en la gravedad del incumplimiento en relación con la cuantía y la duración del contrato de préstamo, por aplicación de los criterios establecidos en el art. 24 de la Ley 5/2019, de 15 de marzo, reguladora de los contratos de crédito inmobiliario.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ahora recurrente promovió un incidente extraordinario de nulidad de actuaciones, en el que expresamente se alegó la eventual vulneración del derecho a la tutela judicial efectiva (art. 24.1 CE), así como la primacía del Derecho de la Unión Europea, y en el que se insistía en los motivos que, a su juicio, justificaban la decisión adoptada por el Juzgado de Primera Instancia, con amplia reseña legal y jurisprudencial.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incidente fue desestimado por medio de providencia de fecha 28 de octubre de 2021, en la que literalmente se exponía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“Dada cuenta; el anterior escrito presentado por la procuradora doña Isabel Núñez Zamorano en nombre y representación de Juan Carlos Ángel Bernal, únase al presente recurso; y, visto su contenido no ha lugar a la admisión del incidente excepcional de nulidad de actuaciones que se promueve por no fundamentar jurídicamente su pretensión ni alegar motivo bastante para ello al amparo de los arts. 238 y ss. de la Ley Orgánica del Poder Judicial” [la cursiva es nuestra].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recurso de amparo se dirige formalmente contra esta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la vulneración del derecho a la tutela judicial efectiva (art. 24.1 CE), en su vertiente de derecho a obtener una resolución fundada en Derecho y a no padecer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hechos que consideró de su interés, la demanda considera que la resolución impugnada adolece de una manifiesta falta de motivación, lo que le genera indefensión, además de no responder al objeto y finalidad de los incidentes de nulidad de actuaciones, es decir, reparar el derecho fundamental alegado. Seguidamente, la demanda reitera los motivos por los que considera que procedía el archivo del procedimiento de ejecución hipotecaria.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demandante justifica la especial trascendencia constitucional del recurso, porque plantea una cuestión jurídica relevante, dado el incumplimiento de la primacía del Derecho de la Unión Europea, y su general repercusión social y económica, con cita de las SSTC 155/2009 y 31/2019.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digo, el recurrente solicita “la suspensión del procedimiento de ejecución hipotecaria”, con el “fin de evitar daños y perjuicios de imposible o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Sección Cuarta, de este Tribunal Constitucional, dictó providencia el 10 de octubre de 2022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porque el asunto suscitado trasciende del caso concreto porque plantea una cuestión jurídica de relevante y general repercusión social o económica [STC 155/2009, FJ 2 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51 LOTC, diríjase atenta comunicación a la Sección Quinta de la Audiencia Provincial de Cartagena, a fin de que, en plazo que no exceda de diez días, remita testimonio de las actuaciones correspondientes al recurso de apelación núm. 149-2020.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Diríjase igualmente atenta comunicación al Juzgado de Primera Instancia nº 5 de Cartagena a fin de que, en plazo que no exceda de diez días, remita testimonio de las actuaciones correspondientes al procedimiento de ejecución hipotecaria núm. 199-2016; debiendo previamente emplazarse, para que en el plazo de diez días puedan comparecer, si lo desean, en el recurso de amparo a quienes hubieran sido parte en el procedimiento, excepto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Fórmese la oportuna pieza para la tramitación de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nueva providencia dictada por la Sección Cuarta de este tribunal en la misma fecha de la admisión del recurso,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presentó escrito de alegaciones en fecha 17 de octubre de 2022, reiterando la solicitud de suspensión, con cita de los AATC 74/2013, 37/2014 y 21/2018, entre otros. A su juicio, de no accederse a lo solicitado, se procederá al señalamiento del lanzamiento, lo que provocaría una situación difícilmente reversible,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ante este Tribunal Constitucional formalizó su escrito de alegaciones en esta pieza el 10 de noviembre de 2022, interesando que se adopte únicamente la medida de anotación preventiva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reseñar los antecedentes que consideró de interés, expone la doctrina general de este tribunal —con profusión de citas— sobre el carácter excepcional y la aplicación necesariamente restrictiva de la medida de suspensión de la resolución impugnada en amparo [art. 56.2 de la Ley Orgánica del Tribunal Constitucional (LOTC)], así como sobre el concepto de “perjuicio irreparable” y su concreción en el ámbito patrimonial o económico. A lo que añade nuestra doctrina sobre la carga que recae sobre el recurrente, a la hora de alegar los concretos perjuicios que podrían derivarse de la ejecución de la resolución impugnada. Conforme a ese contexto, el Ministerio Fiscal considera aplicable a este supuesto la misma solución acordada en los AATC 27/2020 y 28/2020, ambos de 24 de febrero, FJ 3, que transcribe. En consecuencia, el fiscal interesa la desestimación de la suspensión solicitada y que, en su lugar, se acuerde “la medida cautelar de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Vistas las alegaciones de la parte recurrente, en fecha 15 de noviembre se dirigió oficio para recabar información actualizada del estado de tramitación del procedimiento judicial de origen y, más concretamente, si se había acordado el lanzamiento de la parte ejecutada y, en su caso, la fecha señalada a tal efecto. Por diligencia de constancia del letrado de la administración de justicia del Juzgado de Primera Instancia núm. 5 de Cartagena, fechada el 21 de noviembre de 2022, se informa que el “procedimiento se encuentra en trámite de subasta, sin que se haya producido aún lanzamiento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199-2016 seguido en el Juzgado de Primera Instancia núm. 5 de Cartagena.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la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aparece huérfana de una mínima argumentación sobre la medida solicitada. Ya en la pieza, la parte recurrente se limita a poner de manifiesto, genéricamente, los hipotéticos perjuicios que se derivarían de un eventual lanzamiento que, según información actualizada remitida por el Juzgado, todavía no ha sido acordado, ya que ni siquiera se ha subastado el inmueble.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tales circunstancias, no es posible afirmar que la eventual continuación del curso del procedimiento judicial provoque por sí solo un perjuicio determinante de la pérdida de la finalidad del presente recurso de amparo, que es el elemento a tener en cuenta en este trámite. 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una hipotética adquisición del bien por tercero lo hiciera irreivindicable; situación a la que se hace referencia genérica en el escrito de alegaciones presentado en esta pieza. Esta misma ha sido la solución acogida, entre otros, en los AATC 106/2017, de 17 de julio, FJ 3; 88/2018, de 17 de septiembre, FJ 5, y 2/2019, de 9 de enero,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y,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199-2016 seguido en el Juzgado de Primera Instancia núm. 5 de Cartagena.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