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28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5166-2022, promovido por Euroinversiones Inmobiliarias Costa Sur, S.L.,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julio de 2022 tuvo entrada en el registro general del Tribunal Constitucional un escrito de la procuradora de los tribunales doña Blanca Berriatua Horta, en representación de la entidad Euroinversiones Inmobiliarias Costa Sur, S.L., por el que interpuso recurso de amparo contra el auto de 3 de junio de 2022 del Juzgado de Primera Instancia e Instrucción núm. 5 de Lorca, que desestima el recurso de reposición interpuesto por la ahora actora frente al auto de 21 de septiembre de 2018, que inadmitió por extemporánea la demanda de oposición presentada en el seno de la ejecución hipotecaria núm. 294-2018, promovida por la entidad Banco de Sabadell,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21 de septiembre de 2018, el Juzgado de Primera Instancia e Instrucción núm. 5 de Lorca dictó un auto en el procedimiento de ejecución hipotecaria núm. 294-2018 por el que acordó: “Inadmitir a trámite la oposición formulada por la parte ejecutada […] Euroinversiones Inmobiliarias Costa Sur, S.L., […], por estar presentada fuera de plazo”,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establece en el artículo 134 de la Ley de enjuiciamiento civil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recurso de reposición, fue desestimado por auto del Juzgado de fecha 3 de junio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consta en esta resolución, la entidad ahora recurrente alegó “la infracción de los artículos 135, 152, 158, 160, 162 y 273 de la Ley de enjuiciamiento civil así como el artículo 24 CE en el auto por el que se acuerda inadmitir a trámite la oposición formulada por considerarla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Manifiesta en síntesis la recurrente que no es cierto que la notificación se le efectuara en fecha 22 de mayo de 2018 como se afirma en la resolución recurrida sino el día 7 de julio de 2018, siendo que el escrito de oposición al estar presentado en fecha 20 de julio de 2018 estaría dentro del plazo de los diez días que impone el art. 695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el recurrente, que la comunicación recibida el día a través de la dirección electrónica habilitada no constituye una notificación o requerimiento en legal forma sino solamente un aviso de la puesta a su disposición de una notificación electrónica que puede descargarse en un plazo determinado, por que habiendo tenido acceso el día 7/07/2018 la notificación se efectúo en dicho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respuesta a estas pretensiones, el Juzgado argumenta, en resumen, lo siguiente: (i) que la demandante está obligada a relacionarse con la administración de justicia por medios electrónicos, dado su condición de persona jurídica; (ii) reseña los arts. 162.2 LEC; 33.2 y 34 de la Ley 18/2011, de 5 de julio; y 11.2 del Real Decreto 1065/2015, de 2 de noviembre; así como el acuerdo de Pleno no jurisdiccional de la Sala Cuarta del Tribunal Supremo de 6 de julio de 2016; y (iii) que, en el presente caso, “consta que la notificación se puso a disposición de la recurrente en fecha 22/05/2018 no accediendo al contenido hasta el día 07/07/18 (fuera de los tres días que establece la normativa procesal), presentando los escritos de oposición a la ejecución en fecha 20/07/2018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del derecho a la tutela judicial efectiva (art. 24.1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 3 de junio de 2022, que desestimó la reposición, se reiteran los argumentos ya expuestos, que no fueron atendidos por el Juzgado al dar por válida la notificación efectuada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cita y reseña ampliamente la doctrina de este tribunal sobre la cuestión planteada, y más en concreto, las SSTC 47/2019, de 8 de abril; 40/2020, de 27 de febrero; 77/2020, de 29 de junio, y 130/2020, de 21 de septiembre,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aquellas, a fin de que el juzgado a quo admita a trámite la “demanda de oposición al despacho de ejecución formulada por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294-2018 seguido ante el Juzgado de Primera Instancia e Instrucción núm. 5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24 de octubre de 2022,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comunicación al Juzgado de Primera Instancia e Instrucción núm. 5 de Lorca, a fin de que, en plazo que no exceda de diez días, remita testimonio íntegro de las actuaciones correspondientes al procedimiento de ejecución hipotecaria núm. 294-2018;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 solicitado por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con fecha 27 de octubre de 2022,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 harían perder al recurso de amparo su finalidad y provocarían perjuicios patrimoniales para mi representada de imposible o difícil reparación”. Tras reiterar los argumentos expuestos en la demanda de amparo, cita en apoyo de su pretensión lo resuelto por este tribunal en el ATC 287/2013, de 16 de diciembre, que reseña ampliamente.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10 de noviembre de 2022, interesando que se adopte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de forma exhaustiva los antecedentes que consideró de interés, el fiscal cita el art. 56 LOTC para, seguidamente, hacer una descripción amplia de la doctrina de este tribunal sobre sobre el carácter excepcional y la aplicación necesariamente restrictiva de la medida de suspensión de la resolución impugnada en amparo (art. 56.2 LOTC), así como sobre el concepto de perjuicio irreparable y su concreción en el ámbito patrimonial o económico. A lo que añade nuestra doctrina sobre la carga que recae sobre el recurrente, a la hora de alegar los concretos perjuicios que podrían derivarse de la ejecución de la resolución impugnada. Conforme a ese contexto, el Ministerio Fiscal considera aplicable a este supuesto la misma solución acordada en los AATC 27/2020, y 28/2020, ambos de 24 de febrero, FJ 3, que transcribe. En consecuencia, el fiscal interesa la desestimación de la suspensión solicitada y que, en su lugar, se acuerde “la medida cautelar de anotación preventiva de la demanda de amparo en el registro de la propiedad”.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294-2018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regulación ofrece una configuración de la suspensión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o justifique, ofreciendo un principio razonable de prueba, el carácter no reparable o la dificultad de la reparación de los perjuicios derivados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mencionada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un tercero de buena fe lo hiciera irreivindicable, situación a la que hace referencia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entre otros, en los AATC 106/2017, de 17 de julio, FJ 3; 88/2018, de 17 de septiembre, FJ 5; 2/2019, de 9 de enero, FJ 4, o 177/2019,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[sus]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294-2018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