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2819-2021, promovido por la UTE Puente de Cádi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mayo de 2021 el procurador de los tribunales don Federico Pinilla Romeo, en nombre y representación de UTE Puente de Cádiz y bajo la dirección del letrado don Nicolás González-Deleito Domínguez, interpuso demanda de amparo contra la providencia de 18 de marzo de 2021 de la Sección Primera de la Sala de lo Contencioso-Administrativo del Tribunal Supremo en recurso de casación 5947-2020 contra la sentencia dictada por la Sección Octava de la Sala de lo Contencioso-Administrativo de la Audiencia Nacional en procedimiento ordinario 453-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2819-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