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2035-2022, promovido por doña Julia Montalbán Motos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marzo de 2022 la procuradora de los tribunales doña Consuelo Rodríguez Chacón, en nombre y representación de doña Julia Montalbán Motos y otros y bajo la dirección de la letrada doña Ana Gonzálvez Ferrando, interpuso demanda de amparo contra la providencia de 3 de febrero de 2022 de la Sección Primera de la Sala de lo Contencioso-Administrativo del Tribunal Supremo dictada en recurso de casación 7488-2020 contra la sentencia dictada por la Sección Sexta de la Sala de lo Contencioso-Administrativo de la Audiencia Nacional en recurso de apelación 27-2019.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2035-2022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