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los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la cuestión de inconstitucionalidad 5521-2022,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julio de 2022 tuvo entrada en este tribunal oficio del Juzgado de Violencia sobre la Mujer núm. 1 de Reus acompañado del testimonio de las actuaciones correspondientes al procedimiento de divorcio contencioso 82-2021 en el que se acordó plantear cuestión de inconstitucionalidad en relación con los apartados 3 y 4 del artículo 233-11 de la Ley del Parlamento de Cataluña 25/2010, de 29 de julio, del libro segundo del Código civil de Cataluña, relativo a la persona y la familia, en la redacción dada por el artículo único.1 del Decreto-ley de la Generalitat de Cataluña 26/2021, de 30 de noviembre, de modificación del libro segundo del Código civil de Cataluña en relación con la violencia vicaria.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trae causa de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G.F.R., y doña V.S.G., contrajeron matrimonio el día 2 de julio de 2016. Fruto de esa unión, nació un hijo, G., el día 6 de julio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días 2 y 7 de septiembre de 2021, el padre y la madre del menor interpusieron, respectivamente, demandas cruzadas de divorcio contencioso contra el otro cónyuge, que fueron turnadas al Juzgado de Violencia sobre la Mujer de Reus por existir dos denuncias anteriores de doña V.S.G., contra su esposo: una presentada el 3 de agosto de 2021 por lesiones y amenazas (diligencias urgentes 239-2021) y otra el día 13 del mismo mes y año por coacciones (diligencias urgentes 255-2021). Esta última fue inmediatamente sobreseída, pero la primera dio lugar a las diligencias previas 160-2021 que continuaban en tramitación en el momento de dictarse el auto de planteamiento. En estas diligencias previas 160-2021 se dictó un auto de 4 de agosto que denegó la orden de protección solicitada por no apreciar una “situación objetiva de riesgo” para la denunciante (art. 544 ter de la Ley de enjuiciamiento criminal) pero acordó sin embargo medidas civiles que continúan rigiendo las relaciones entre las partes, consistentes, en lo que aquí interesa, en atribuir la guarda y custodia del menor a la madre con visitas del padre de fines de semana alternos y, en la semana en que el padre no vaya a disfrutar del fin de semana con el hijo, una tarde intersemanal con pernocta.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Acumuladas ambas demandas en el procedimiento de divorcio contencioso 82-2021, y realizados los restantes trámites procesales, el día 3 de mayo de 2022 se celebró la vista en la que los cónyuges manifestaron haber llegado a un acuerdo al que el Ministerio Fiscal se opuso en lo relativo a las visitas del menor a su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Dentro del plazo para dictar sentencia, el juzgado dictó providencia de 11 de marzo de 2022 para que conforme a lo establecido en el art. 35 de la Ley Orgánica del Tribunal Constitucional (LOTC) las partes alegaran sobre la pertinencia de plantear cuestión de inconstitucionalidad, o sobre el fondo de esta, en relación con los apartados 3 y 4 del art. 233-11 de la Ley del Parlamento de Cataluña 25/2010 (redactados por el Decreto-ley de la Generalitat de Cataluña 26/2021), por posible vulneración de los arts. 9.3, 10, 14, 24.2 y 39, apartados 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fiscal se opuso al planteamiento de la cuestión, al considerar que el propio apartado 4 cuestionado permite autorizar excepcionalmente un régimen de visitas. La representación del padre, en cambio, se mostró favorable al planteamiento argumentando que “[d]ada la corta [edad] del menor, cuatro años, y que no puede ser escuchado, entendemos que se están vulnerando los artículos mencionados, y con especial relevancia el derecho de visitas del menor con su padre”. La representación de la madre, por su parte,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acordó, por auto de 10 de junio, plantear cuestión de inconstitucionalidad en relación con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comienza manifestando que “[n]ada hay que objetar” al primer inciso del apartado 3, sobre la prohibición de guarda y estancias en caso de “indicios fundamentados” de criminalidad, “ya que es lógico y perfectamente normal garantizar la protección de los menores” en esta clase de supuestos. Centra su argumentación en el inciso segundo que establece la misma prohibición de guarda y visitas cuando el progenitor “se encuentre incurso en un proceso penal” por los delitos indicados en el precepto. Le parece que mientras la “exigencia de fundamentación” implícita en el primer caso justifica esa prohibición, la aplicación “automática e imperativa” de la segunda prohibición la hace inconstitucional. Recuerda que el proceso penal se prolonga en el tiempo y que ni siquiera una sentencia absolutoria podría enervar aquella, ya que habría que esperar hasta su firmeza tras la eventual la interposición de un recurso y desestimación de este. Además, en el caso de autos hay acuerdo de las partes sobre el régimen de guarda y custodia y visitas del hijo y un auto denegando la orden de protección por no apreciarse situación objetiva de riesgo para la denunciante.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explica por qué no considera aplicable el apartado 4, “en el que se escuda el Ministerio Fiscal […] para argumentar la falta de relevancia constitucional”. El citado apartado exige tres requisitos para autorizar las visitas: motivación, audiencia del menor y que el mismo tenga capacidad suficiente. “No existe ningún problema con [la primera] exigencia […] lógic[a], coherente y proporcionad[a]”. Son las dos últimas las que dan lugar al vicio de inconstitucionalidad, ya que la posibilidad excepcional de autorizar visitas que abre el apartado 4 no es aplicable en “casos en los que los menores no tengan capacidad natural suficiente”, como sucede en el caso de autos. Asume que “de forma genérica”, un menor “de más de 12-14 años” puede contar con capacidad natural suficiente, pero “¿qué ocurre si el menor está debajo de los umbrales de determinada edad, que le privan, de forma ordinaria, de esa capacidad? La respuesta es clara: no puede establecerse el régimen de visitas, relación o comunicación con el progenitor incurso en un proceso penal”. Así pues, interpretado el apartado 4 “[a] contrario sensu, si el menor no ostenta [la] capacidad [exigida], por ser de corta edad u otros factores, el régimen de visitas, estancias y comunicación no puede existir”.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Acto seguido transcribe el art. 35 LOTC y considera que “quedan cumplidos los requisitos procedimentales para el planteamiento de la cuestión”, dedicando la parte final del auto a exponer las dudas de constitucionalidad en relación con varios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vulneración del principio de seguridad jurídica (art. 9.3 CE) tanto en su vertiente objetiva como subjetiva, por emplear el precepto un “concepto jurídico de carácter indeterminado, sin poder saber con certeza qué límite de edad o capacidad es el que debemos atender” y porque el precepto menoscaba la “confianza de los ciudadanos frente a cambios normativos que no sean razonablemente previsibles”.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vulneración del art. 10 CE, en relación con el art. 39 CE, de los que deriva el derecho del menor a no ser separado de sus padres reconocido en el art. 9 de la Convención de Naciones Unidas sobre derechos del niño, en el art. 24 de la Carta de derechos fundamentales de la Unión Europea y en múltiples sentencias del Tribunal Europeo de Derechos Humanos, que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vulneración del art. 14 de la Constitución por la “diferente regulación que se establece en la Comunidad Autónoma de Cataluña en contraposición al resto de la normativa estatal”. Cita en particular el art. 94.4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Tampoco procederá cuando la autoridad judicial advierta, de las alegaciones de las partes y las pruebas practicadas, la existencia de indicios fundados de violencia doméstica o de género.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Le parece que este último inciso permite un régimen de visita, comunicación y estancia en caso de “indicios fundados de violencia doméstica o de género” de forma más flexible.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vulneración del derecho a la presunción de inocencia (art. 24.2 CE), aplicable no solo a conductas delictivas sino también a “la adopción de cualquier resolución, tanto administrativa como jurisdiccional, que se base en la condición o conducta de las personas y de cuya apreciación se derive un resultado sancionatorio para las mismas o limitativo de sus derechos” (reproduciendo la STC 13/1982, de 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noviembre de 2022, el Pleno del Tribunal Constitucional acordó, a los efectos que determina el art. 37.1 LOTC, oír al fiscal general del Estado para que en el plazo de diez días alegase lo que considerase conveniente acerca de la admisibilidad de la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10 de enero de 2023, en el que interesa la inadmisión de la cuestión de inconstitucionalidad por defectuosa formulación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juicio de aplicabilidad está correctamente formulado, pues el órgano judicial debe pronunciarse expresamente sobre el acuerdo presentado por los progenitores del menor sobre sus relaciones personales y los preceptos cuestionados resultan de aplicación. En cambio, el juicio de relevancia no ha sido correctamente realizado, pues, como el fiscal ya manifestó en el trámite de alegaciones del art. 35.2 LOTC, el apartado 4 cuestionado permite acordar el régimen de visitas, comunicación y estancia con el progenitor “incurso en un proceso penal” por resolución motivada. No existe, por tanto, la prohibición “automática” que asume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que efectúa el auto de planteamiento para descartar esta posibilidad excepcional le parece contraria a los criterios de interpretación establecidos en el artículo 3.1 del Código civil. En relación con el “contexto”, cita la Ley Orgánica 1/1996, de 15 de enero, de protección jurídica del menor, y la Ley del Parlamento de Cataluña 14/2010, de 27 de mayo, de los derechos y las oportunidades en la infancia y la adolescencia. Ambas leyes consideran el “interés superior” del menor el criterio rector y principio inspirador de todas las actuaciones de los poderes públicos en esta materia (art. 2 de la Ley Orgánica 1/1996 y art. 5 de la Ley 14/2010) y garantizan a los menores el derecho a ser oídos antes de que los poderes públicos tomen cualquier decisión que les afecte siempre que tengan “madurez” o “capacidad natural” suficiente (art. 9 de la Ley Orgánica 1/1996 y art. 7 de la Ley 14/2010). Y esto mismo ordena el art. 211-6 del Código civil de Cataluña. La propia exposición de motivos del Decreto-ley 26/2021 deja claro que la finalidad de la norma es no excluir de manera general la posibilidad de autorizar las visitas y que la capacidad natural del menor es requisito de su audiencia, no de la posibilidad de autorizar aquellas. De conformidad con este conjunto normativo, concluye, la posibilidad excepcional de autorizar visitas debe aplicarse siempre que sean en interés del menor, con audiencia de este si tiene capacidad suficiente o sin ella en caso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a mayor abundamiento, que la cuestión de inconstitucionalidad podría considerarse “notoriamente infundada” (art. 37.1 LOTC). Recuerda que el art. 5.3 de la Ley Orgánica del Poder Judicial obliga a plantear cuestión de inconstitucionalidad solamente “cuando por vía interpretativa no sea posible la acomodación de la norma al ordenamiento constitucional”. De modo que, al prescindir injustificadamente de la interpretación conforme antes aludida, el órgano judicial no habría levantado la “carga” de argumentar pormenorizadamente la inconstitucionalidad de la norma, como exige este tribunal (cita, entre otros, el ATC 100/2017, de 4 de julio, FJ 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Violencia sobre la Mujer núm. 1 de Reus promueve cuestión de inconstitucionalidad en relación con los apartados 3 y 4 del artículo 233-11 de la Ley del Parlamento de Cataluña 25/2010, de 29 de julio, del libro segundo del Código civil de Cataluña, relativo a la persona y la familia, en la redacción dada por el artículo único.1 del Decreto-ley de la Generalitat de Cataluña 26/2021, de 30 de noviembre, de modificación del libro segundo del Código civil de Cataluña en relación con la violencia vicaria, que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interés de los hijos e hijas, no se puede atribuir la guarda al progenitor, ni se puede establecer ningún régimen de estancias, comunicación o relación, o si existen se tienen que suspender, cuando haya indicios fundamentados de que ha cometido actos de violencia familiar o machista. Tampoco se puede atribuir la guarda al progenitor, ni se puede establecer ningún régimen de estancias, comunicación o relación, o si existen se tienen que suspender, mientras se encuentre incurso en un proceso penal iniciado por atentar contra la vida, la integridad física, la libertad, la integridad moral o la libertad y la indemnidad sexual del otro progenitor o sus hijos o hijas, o esté en situación de prisión por estos delitos y mientras no se extinga la responsabilidad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Excepcionalmente, la autoridad judicial puede establecer, de forma motivada, un régimen de estancias, relación o comunicaciones en interés de la persona menor, una vez escuchada, si tiene capacidad natural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ha quedado detallado en el apartado de los antecedentes, el juzgado ha elevado la presente cuestión de inconstitucionalidad antes de autorizar el régimen de comunicación y estancia del menor acordado por sus progenitores en el procedimiento de divorcio de estos. Centra su duda en el segundo inciso del apartado 3, que prohíbe autorizar visitas del menor con su progenitor cuando este “se encuentre incurso en un proceso penal” por los delitos indicados en el precepto, como sucede en el caso que debe resolver. A su vez, le parece que la posibilidad excepcional de autorizar esas visitas en interés superior del menor, prevista en el apartado 4, no es aplicable porque el menor a que se refiere su procedimiento no tiene “capacidad natural suficiente”, como exige el indicado apartado, al contar solo con cuatro años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nuestra doctrina, “una de las ‘condiciones procesales’ de la cuestión de inconstitucionalidad —posiblemente la principal— es que los preceptos cuestionados resulten ‘aplicables al caso’ y que de su ‘validez dependa el fallo’, tal y como exigen los artículos 163 CE y 35.1 LOTC. Es esta una condición necesaria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 [ATC 134/2019, de 29 de octubre, FJ 2 B),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igualmente doctrina constitucional consolidada que corresponde al órgano judicial a quo exteriorizar el llamado “juicio de relevancia”, es decir, “el esquema argumental dirigido a probar que el fallo del proceso judicial depende de la validez de la norma cuestionada”, un juicio sobre el cual el Tribunal ejerce un control “externo” en el que “debe verificar su concurrencia a fin de que no se haga un uso de la cuestión de inconstitucionalidad no acomodado a su naturaleza y finalidad propias” (por todos, ATC 89/2019, de 16 de julio, FJ 4). Este control externo significa que no corresponde a este tribunal “sustituir o rectificar su criterio [el del órgano promotor de la cuestión de inconstitucionalidad], salvo en los casos en que, de manera notoria, sin necesidad de examinar el fondo debatido y en aplicación de principios jurídicos básicos, se advierta que la argumentación judicial en relación con dicho juicio de relevancia carece de consistencia” (STC 86/2016, de 28 de abril, FJ 3,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luz de esta doctrina, debemos considerar inconsistente el juicio de relevancia formulado por el órgano judicial. El auto de planteamiento considera que el apartado 3 contiene una prohibición “automática e imperativa” de autorizar visitas en los supuestos que menciona que el apartado 4 no enerva porque el menor no tiene “capacidad natural suficiente”, por su corta edad. Rechaza así la interpretación que proponía el fiscal en el escrito de alegaciones formulado en el trámite del art. 35.2 LOTC, y que reitera el fiscal general del Estado en el del art. 37.1, ya ante este tribunal, a saber, que lo que la ausencia de “capacidad natural” del menor enerva es la preceptiva audiencia de este, no la potestad del juez de autorizar excepcional y motivadamente las visitas. Rechaza esta interpretación, sin embargo, apodícticamente, sin explicar por qué no es posible este entendimiento que haría innecesaria la cuestión planteada y que además fluye con naturalidad del tenor literal del precepto, que dice que el juez puede autorizar motivadamente las visitas “una vez escuchada [la persona menor], si tiene capacidad natural suficiente”. Así pues, parece que lo que la falta de capacidad del menor condiciona es la preceptiva audiencia del menor, no la posibilidad de autorizar las visitas si estas son en su interés.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solo el criterio literal apoya a esta interpretación. En efecto, como apunta el fiscal general del Estado, también la interpretación sistemática del precepto “en relación con el contexto” (art. 3.1 del Código civil) conduce al mismo resultado. Las leyes de protección del menor sitúan como criterio rector de las decisiones que deban adoptarse en relación con ellos la valoración de su “interés superior” (art. 2 de la Ley Orgánica 1/1996, de 15 de enero, de protección jurídica del menor y art. 5 de la Ley del Parlamento de Cataluña 14/2010, de 27 de mayo, de los derechos y oportunidades en la infancia y la adolescencia) y exigen además su audiencia siempre que tengan “madurez” o “capacidad natural” suficiente. Es el caso, en particular, del art. 211-6.2 de la misma Ley del Parlamento de Cataluña 25/2010 donde se insertan los preceptos cuestionados, que dice que “[e]l menor de edad, de acuerdo con su edad y capacidad natural y, en todo caso, si ha cumplido doce años, tiene derecho a ser informado y escuchado antes de que se tome una decisión que afecte directamente a su esfera personal o patrimonial”, y también del art. 9 de la Ley Orgánica 1/1996, de protección jurídica del menor, que 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menor tiene derecho a ser oído y escuchado sin discriminación alguna por edad, discapacidad o cualquier otra circunstancia, tanto en el ámbito familiar como en cualquier procedimiento administrativo, judicial o de mediación en que esté afectado y que conduzca a una decisión que incida en su esfera personal, familiar o social, teniéndose debidamente en cuenta sus opiniones, en función de su edad y madurez.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garantizará que el menor, cuando tenga suficiente madurez, pueda ejercitar este derecho por sí mismo o a través de la persona que designe para que le represente. La madurez habrá de valorarse por personal especializado, teniendo en cuenta tanto el desarrollo evolutivo del menor como su capacidad para comprender y evaluar el asunto concreto a tratar en cada caso. Se considera, en todo caso, que tiene suficiente madurez cuando tenga doce años cumplidos”.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según estas leyes, la madurez y capacidad natural del menor es requisito para su derecho de audiencia, y no para el disfrute de sus derechos sustantivos. Esta interpretación sistemática coincide, además, con la voluntad acreditada del legislador autor de la disposición cuestionada, según resulta de la exposición de motivos del Decreto-ley de la Generalitat de Cataluña 26/2021, igualmente aludida por el fiscal general del Estado, que 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“Excepcionalmente, en el apartado 4 de este artículo 233-11 se posibilita que, de forma motivada, la autoridad judicial pueda acordar que se puedan hacer estancias o comunicaciones en interés superior del niño. Se considera que no se entendería que se excluyan de forma general, sin posibilidad de excepción. En todo caso, se debe escuchar al niño o adolescente, si tiene capacidad natural suficiente, y la justificación se debe tomar en interés de la persona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carácter general, hemos dicho que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 [STC 171/2012, de 4 de octubre, FJ 3, citando la STC 105/1988, de 8 de junio, FJ 1 c), o también la antes aludida STC 86/2016,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en un caso como este, en el que (i) se cuestiona un precepto legal cuyo tenor literal, ubicación sistemática, sentido y finalidad permiten claramente una interpretación alternativa a la sostenida en el auto de planteamiento que haría inútil la cuestión de inconstitucionalidad suscitada, y además (ii) esa interpretación era apoyada expresamente por una de las partes en el trámite del art. 35.2 LOTC (Ministerio Fiscal), de modo que correspondía al órgano judicial motivar expresamente por qué no era posible acoger esa interpretación alternativa en vez de proceder en su lugar a plantear la cuestión de inconstitucionalidad. Como este tribunal ha reiterado, “cuando lo que está en juego es la depuración del ordenamiento jurídico, es carga del órgano judicial, no solo la de abrir la vía para que el Tribunal pueda pronunciarse, sino también la de colaborar con la justicia del Tribunal mediante un pormenorizado análisis de las graves cuestiones que se suscitan” (por todos, ATC 113/2019, de 1 de octubre, FJ 4). En este caso, no se trata tanto de que el juez hubiera debido llevar a cabo una interpretación de la norma cuestionada conforme con la Constitución como de constatar que la interpretación efectuada en el auto de planteamiento se aparta de manera notoria de los cánones hermenéuticos generalmente aplicables.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