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María Luisa Segoviano Astaburuaga, en el recurso de amparo núm. 7239-2021, promovido por don Mohamed Achraf en procedimiento de vigilancia penitenciaria,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2022, don Mohamed Achraf, representado por la procuradora de los tribunales doña María Cristina Herguedas Pastor, bajo la dirección de la letrada doña María Begoña Humanes Gómez, interpuso recurso de amparo contra el auto núm. 685/2021, de 16 de septiembre de 2021, dictado por la Sección Primera de la Sala de lo Penal de la Audiencia Nacional, que desestimó el recurso de apelación en los autos núm. 544-2021, interpuesto contra el auto núm. 2545/2021, de 26 de mayo de 2021, desestimatorio a su vez del recurso de reforma núm. 144-2021, interpuesto por el mismo recurrente frente al auto núm. 1954/2021, de 19 de abril de 2021, dictados ambos por el Juzgado Central de Vigilancia Penitenciaria en el procedimiento de peticiones y quejas núm. 387-2005-172, que archivó la queja del ahora demandante de amparo, interno en el centro penitenciario Málaga II, formulada por la no instalación de interfonos en el patio del módulo de aislamiento, sobre cuya admisibilidad debe conocer la Sección Primera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30 de enero de 2023, la magistrada doña Concepción Espejel Jorquera comunicó su voluntad de abstenerse del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685/2021, de 16 de septiembre de 2021, resolución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presidido el órgano judicial que dictó el auto de apelación impugnado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7239-2021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