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2393-2022, promovido por Castillo de Villanueva del Cañedo,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abril de 2022 la procuradora de los tribunales doña Manuela de los Ángeles Sánchez Ruano, en nombre y representación de Castillo de Villanueva del Cañedo, S.L., y bajo la dirección del letrado don José Lomo Carasa, interpuso demanda de amparo contra la providencia de 15 de febrero de 2022, dictada por la Sección Primera de la Sala de lo Contencioso-Administrativo del Tribunal Supremo en recurso de casación 414-2021.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2393-2022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