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318-2023, promovido por don Aitor Albillos Blanco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enero de 2023 la procuradora de los tribunales doña Ana María Araúz de Robles Villalón, en nombre y representación de don Aitor Albillos Blanco y bajo la dirección del letrado don Francisco Javier Araúz de Robles Dávila, interpuso demanda de amparo contra la providencia de 1 de diciembre de 2022, dictada por la Sección Primera de la Sala de lo Contencioso-Administrativo del Tribunal Supremo en recurso de casación 2841-2022.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