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45-2023, promovido por doña Emiliana Seyla Ndong Nandung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enero de 2023 el procurador de los tribunales don Francisco Javier Fortés Ranera, en nombre y representación de doña Emiliana Seyla Ndong Nandung y bajo la dirección de la letrada doña María Jesús Pérez Herráiz, interpuso demanda de amparo contra la providencia de 20 de diciembre de 2022 dictada por la Sección Primera de la Sala de lo Contencioso-Administrativo del Tribunal Supremo, en el recurso de casación núm. 363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45-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