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220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8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3161-2022, promovido por Comar Inversiones Capital, S.A.U.,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4 de mayo de 2022 el procurador de los tribunales don Enrique Alejandro Sastre Botella, en nombre y representación de Comar Inversiones Capital, S.A.U., y bajo la dirección del letrado don Alfonso López López, interpuso demanda de amparo contra la providencia de 17 de marzo de 2022, dictada por la Sala de lo Contencioso-Administrativo del Tribunal Supremo en recurso de casación núm. 6543-2021.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14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3161-2022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