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22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Enrique Arnaldo Alcubilla, y doña Laura Díez Bueso, en el recurso de amparo núm. 5744-2020, promovido por doña Erundina Adjaba Honsuy Nsa, contra el auto de 9 de octubre de 2020 de la Sección Primera de la Sala de lo Contencioso-Administrativo del Tribunal Supremo, que acuerda desestimar el recurso de queja núm. 120-2020, interpuesto contra el auto de 5 de febrero de 2020, dictado por la Sección Décima de la Sala de lo Contencioso- Administrativo del Tribunal Superior de Justicia de Madrid que acordó no haber lugar a tener por preparado el recurso de casación anunciado contra la sentencia de 13 de diciembre de 2019, dictada en el recurso de apelación núm. 820-2019,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electrónicamente en este tribunal el 24 de noviembre de 2020 la procuradora de los tribunales doña María Teresa Guijarro de Abia, en representación de doña Erundina Adjaba Honsuy Nsa, interpuso recurso de amparo contra las resoluciones indicadas en el encabezamiento, que fue registrado con el núm. 5744-2020. La Sección Primera de la Sala Primera del Tribunal Constitucional, mediante providencia de 21 de abril de 2021 admitió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11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Aceptar la abstención formulada por el magistrado don César Tolosa Tribiño en el recurso de amparo núm. 5744-2020, y apartarle definitivamente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Contra la presente resolución no cabe recurso alguno (art. 221.4 LOPJ).</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