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2107-2023, promovido por doña Francisca Vidal Ramírez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marzo de 2023 la procuradora de los tribunales doña Ana María Araúz de Robles Villalón, en nombre y representación de doña Francisca Vidal Ramírez y otros y bajo la dirección del letrado don Francisco Javier Araúz de Robles Dávila, interpuso demanda de amparo contra el auto de 22 de diciembre de 2022 de la Sección Primera de la Sala de lo Contencioso-Administrativo del Tribunal Supremo, en recurso de queja núm. 268-2022.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25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2107-2023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