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2263-2023, promovido por Inmugarte,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abril de 2023 la procuradora de los tribunales doña María Isabel Soberón García de Enterría, en nombre y representación de Inmugarte, S.L., y bajo la dirección del letrado don Manuel Vera Revilla, interpuso demanda de amparo contra la providencia de 6 de octubre de 2022 de la Sección Primera de la Sala de lo Contencioso-Administrativo del Tribunal Supremo, en el recurso de casación núm. 1804-2022.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2263-2023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