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2285-2023, promovido por don Eduardo Padial Muñoz,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abril de 2023 la procuradora de los tribunales doña Ana María Araúz de Robles Villalón, en nombre y representación de don Eduardo Padial Muñoz y bajo la dirección del letrado don Francisco Javier Araúz de Robles Dávila, interpuso demanda de amparo contra el auto de 24 de noviembre de 2022, dictado por la Sección Primera Sala de lo Contencioso-Administrativo del Tribunal Supremo en recurso de queja núm. 275-2022.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2285-2023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