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5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recurso de amparo núm. 7007-2022, promovido por don Manuel María Chaves González, en relación con (i) la sentencia núm. 490/2019, de 19 de noviembre, dictada por la Sección Primera de la Audiencia Provincial de Sevilla en el procedimiento abreviado núm. 133-2016, rollo núm. 1965-2017, y (ii) la sentencia de la Sala de lo Penal del Tribunal Supremo núm. 749/2022, de 13 de septiembre, que desestima el recurso de casación núm. 601-2020 formulado por el demandante de amparo frente a la anterior,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del Tribunal Constitucional el 27 de octubre de 2022 la representación procesal de don Manuel María Chaves González interpuso recurso de amparo contra (i) la sentencia núm. 490/2019, de 19 de noviembre, dictada por la Sección Primera de la Audiencia Provincial de Sevilla en el procedimiento abreviado núm. 133-2016 rollo núm. 1965-2017, y (ii) la sentencia de la Sala de lo Penal del Tribunal Supremo núm. 749/2022, de 13 de septiembre, que desestima el recurso de casación núm. 601-2020 formulado por el demandante de amparo frente a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antecedentes relevantes para resolver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sentencia dictada en fecha 19 de noviembre de 2019, la Audiencia Provincial de Sevilla condenó, en el marco de la denominada “pieza específica” del caso “ERE”, a diversos miembros del Gobierno y de la administración de la Junta de Andalucía —incluyendo desde presidentes de la comunidad a directores generales— por haber intervenido, a lo largo de casi diez años, en el diseño de un sistema ilegal de concesión de ayudas sociolaborales.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particular, y sin perjuicio de la concreta participación que pudieron tener cada uno de los diferentes encausados/condenados y cuya extensión delimita los delitos por los que finalmente fueron sentenciados, la operativa imputada consiste en haber participado en la llamada fase prelegislativa (bien sea en la fase de elaboración de anteproyecto de ley, bien en la aprobación del proyecto de ley) para la elaboración de las leyes de presupuestos desde los años 2002 a 2009 y en su consiguiente elevación al Parlamento para su examen, enmienda y aprobación.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ilegalidad en la que se basarían los proyectos de ley, los anteproyectos de ley y las modificaciones presupuestarias se cifra en que la partida presupuestaria 22E, habitualmente utilizada para realizar transferencias en el marco de ayudas socio laborales, se encontraba (de conformidad con lo establecido en la Ley 5/1987 de 19 de julio —arts. 77, 81 y concordantes—) sujeta a control previo de la intervención general de la Junta de Andalucía y, por ende, a un seguimiento y control de fiscalización. Ante las dificultades surgidas en el año 2000 por los reparos presentados a diversos expedientes por la Intervención General, se procedió a una modificación presupuestaria a iniciativa de la Consejería de Empleo, por lo que, sin alterar el programa 22E, se modificó su clasificación incluyendo la cantidad presupuestaria en la partida presupuestaria 440.1.2 correspondiente a transferencias de financiación al Instituto de Fomento de Andalucía para que dicho instituto, bajo las directrices de la Consejería de Empleo, otorgara las ayudas sociolaborales sin el sometimiento al control previo de la administración. De esta manera se conseguía, de un lado, que los expedientes de gasto no fueran objeto de fiscalización en la consejería, porque los fondos habían sido transferidos al Instituto de Fomento de Andalucía y, de otro, que en el Instituto de Fomento de Andalucía no pudiera llevarse a cabo esa fiscalización, ya que el instituto estaba sujeto a un control financiero permanente de manera que solo se fiscalizaba el pago a posteriori.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Esto llevó a que en el año 2000 el Consejo de Gobierno de Andalucía aprobara dos modificaciones presupuestarias siguiendo el criterio de presupuestación anteriormente señalado, siendo que a partir del 2001 los fondos recibidos por el Instituto de Fomento de Andalucía fueron movilizados al destinatario final mediante suscripción de convenios particulares con otras entidades. A partir del año 2002 y hasta el 2009 se procedieron a elaborar y aprobar los proyectos de ley de presupuestos en los que se incluía la partida “transferencias de financiación al Instituto de Fomento de Andalucía en materia de relaciones laborales” (partida destinada al equilibrio de las cuentas de pérdidas y ganancias de la citada empresa pública) en el nuevo programa 31L, que sustituía al 22E; y, salvo en 2003, se aprobaron además modificaciones presupuestarias para elevar el crédito de la partida 440. En virtud de ello, las ayudas sociolaborales (en cuantía cercana a los 700 millones de euros) habrían sido otorgadas, entre otros defectos, sin expediente de concesión, sin publicidad, sin fiscalización previa, sin autorización, sin memoria explicativa y sin acreditación de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demandante fue condenado por haber participado en los hechos anteriores, en su calidad de presidente de la Junta de Andalucía, como autor de un delito de prevaricación (art. 404 del Código penal: CP) a la pena de nueve años de inhabilitación especial, con la consiguiente privación definitiva de todo cargo público de carácter electivo o de designación, en cualquier administración pública, que tenga el penado, y la incapacidad para obtenerlos durante el tiempo de la condena. Imponiéndole el pago de una treintaisieteava parte de las costas procesales causadas, excluidas las de las acusaciones populares.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Interpuesto recurso de casación por la representación procesal del demandante fue desestimado íntegramente por sentencia del Tribunal Supremo núm. 749/2022, de 13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vulneración del derecho a la legalidad penal (art. 25.1 CE) por dos razones de diferente índole: (i) en primer lugar, porque órganos judiciales han llevado a cabo una interpretación extensiva y analógica in malam partem del elemento típico “resolución en asunto administrativo” del art. 404 CP, al considerar como “resolución en asunto administrativo” los acuerdos adoptados sucesivamente por el Consejo de Gobierno de la Junta de Andalucía, por los que se aprobaron los anteproyectos de ley de presupuestos de la comunidad autónoma y se remitieron como proyectos de ley al Parlamento de Andalucía; y (ii) en segundo lugar, porque los órganos judiciales habrían llevado a cabo una interpretación extensiva y analógica in malam partem del elemento típico “resolución en asunto administrativo” del art. 404 CP, al considerar como “resolución en asunto administrativo” los acuerdos adoptados por el Consejo de Gobierno de la Junta de Andalucía, relativos a determinadas modificaciones presupuestarias.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justifica la especial trascendencia constitucional del recurso por dos motivos: en primer lugar, por la ausencia de doctrina constitucional [apartado a) del fundamento jurídico 2 de la STC 155/2009] sobre la naturaleza jurídica de las distintas fases de la iniciativa legislativa y, derivado de ello, los límites al control jurisdiccional de cada una de esas fases. El Tribunal Supremo, alejándose de los pronunciamientos establecidos por el Tribunal Constitucional y por la Sala Tercera del propio Tribunal Supremo, ha considerado que la fase prelegislativa en la que se elabora un anteproyecto de ley puede deslindarse o escindirse de la iniciativa legislativa y puede ser calificada como procedimiento administrativo a los efectos del art. 404 CP. Esto produciría una afectación en el principio de legalidad penal (art. 25 CE) toda vez que se habría realizado una interpretación contraria a este derecho en la medida que, por un lado, interpreta la naturaleza jurídica de los actos políticos o de gobierno y, por otro lado, desconoce lo que es su propia jurisprudencia. La Sala Segunda distinguiría, en definitiva, entre proyectos de ley y anteproyectos de ley para escindir estos últimos de la función legislativa y penarlos así por el delito de prevaricación.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defiende el demandante que el caso presenta relevante y general repercusión social y económica [supuesto g) enunciado en el fundamento jurídico 2 de la STC 155/2009], dada cuenta que la cuestión plantada daría al tribunal la oportunidad de pronunciarse sobre la naturaleza jurídica de la primera fase de iniciativa prelegislativa y sobre la naturaleza jurídica de las modificaciones presupuestarias, debiéndose tener en cuenta que sin fase prelegislativa no existiría iniciativa legislativa por lo que no puede escindirse la primera de esta última. Por último, la especial trascendencia constitucional residiría también en la importancia del instrumento jurídico de las modificaciones presupuestarias dada “la importancia de este instrumento jurídico en la actividad gubernamental” no existiendo “doctrina constitucional ni jurisprudencial sobre cuál es su naturaleza jurídica, con las relevantes repercusiones que ello tiene”.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solicita que se declare la vulneración de los derechos invocados, el restablecimiento de su contenido y la nulidad de las resoluciones impugnadas.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del Tribunal Constitucional el 27 de octubre de 2022 la representación procesal de don Manuel María Chaves González interpuso recurso de amparo contra (i) la sentencia núm. 490/2019, de 19 de noviembre, dictada por la Sección Primera de la Audiencia Provincial de Sevilla en el procedimiento abreviado núm. 133-2016, rollo núm. 1965-2017, y (ii) la sentencia de la Sala de lo Penal del Tribunal Supremo núm. 749/2022, de 13 de septiembre, que desestima el recurso de casación núm. 601-2020 formulado por el demandante de amparo frente a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que al amparo del art. 11.2 de la Ley Orgánica del Tribunal Constitucional (LOTC) ha decidido asumir la decisión sobre la admisibilidad del presente recurso, tras su examen liminar, que es el que corresponde a esta fase del procedimiento, aprecia que las vulneraciones de derechos fundamentales aducidas en la demanda no carecen prima facie de verosimilitud; asimismo, la Sala aprecia que concurre en el recurso una especial trascendencia (art. 50.1 LOTC): (i) porque el recurso plantea un problema o afecta a una faceta de un derecho fundamental sobre el que no hay doctrina de este tribunal [STC 155/2009, FJ 2 a)], concretamente, en conexión con el derecho a la legalidad penal (art. 25.1 CE), la naturaleza jurídica y el control judicial que puede llevarse a cabo de las actuaciones prelegislativas encomendadas al Gobierno en la elaboración de los presupuestos, la relación de esta fase de iniciativa legislativa con el ejercicio de la potestad legislativa atribuida a la Cámara, así como el alcance de la fiscalización de los presupuestos, incluyendo las modificaciones presupuestarias; (ii) porque el asunto trasciende del caso concreto debido a que plantea una cuestión jurídica de relevante y general repercusión social y tiene unas consecuencias políticas generales en el ámbito de las relaciones entre el Gobierno, el Parlamento y el Poder Judicial [STC 155/2009, FJ 2 g)].</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Avocar a la Sala la decisión de admisibilidad de este recurso de amparo.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Admitir a trámite el recurso de amparo, apreciando que concurre en el mismo una especial trascendencia constitucional [art. 50.1 b) LOTC] porque el recurso plantea un problema o afecta a una faceta de un derecho fundamental sobre el que no hay doctrina de este tribunal [STC 155/2009, FJ 2 a)] y porque el asunto suscitado trasciende del caso concreto porque plantea una cuestión jurídica de relevante y general repercusión social o económica y tiene unas consecuencias políticas generales [STC 155/2009, FJ 2 g)].</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3º En aplicación de lo dispuesto en el art. 51 LOTC, requerir atentamente a la Sección Primera de la Audiencia Provincial de Sevilla, a fin de que, en plazo que no exceda de diez días, remita certificación o fotocopia adverada de las actuaciones correspondientes al procedimiento abreviado núm. 133-2016 rollo núm. 1965-2017 así como emplazar a quienes hubieran sido parte en el procedimiento, excepto a la parte recurrente en amparo, para que en el plazo de diez días puedan comparecer, si lo desean, en el presente recurso. Requerir también, en el mismo sentido y con el mismo plazo, a la Sala de lo Penal del Tribunal Supremo para que remita certificación o fotocopia adverada de las actuaciones correspondientes al recurso de casación núm. 601-2020.</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4º Avocar al Pleno el conocimiento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conjunto que formulan los magistrados don César Tolosa Tribiño y don Enrique Arnaldo Alcubilla a los autos dictados en los recursos de amparo núm. 6971-2022, 7007-2022, 2119-2023, 2136-2023, 2239-2023, 2348-2023, 2360-2023, 2361-2023, 2391-2023, 2411-2023, 2485-2023 y 2552-2023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que nos confiere el art. 90.2 de la Ley Orgánica del Tribunal Constitucional, formulamos el presente voto particular. Consideramos, a diferencia de las resoluciones adoptadas por la Sala, que los recursos de amparo debieron ser inadmitidos a trámite por carecer de especial trascendencia constitucional [art. 50.1 b) LOTC].</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Los autos de la Sala de los que discrepamos aprecian dos motivos de especial trascendencia constitucional para acordar la admisión a trámite de los recursos de amparo. interpuestos por los recurrentes contra las sentencias condenatorias dictadas en la pieza principal de la causa judicial de los “ERE” de Andalucía (sentencia dictada por la Sección Primera de la Audiencia Provincial de Sevilla en rollo de sala núm. 1965-2017 y sentencia dictada por la Sala de lo Penal del Tribunal Supremo en recurso de casación núm. 601-2020). En primer lugar, que los recursos plantean problemas jurídicos que afectan a una faceta de un derecho fundamental sobre el que no hay doctrina constitucional. Además, que el asunto trasciende del caso concreto, debido a que plantea una cuestión jurídica de relevante y general repercusión social y que tiene unas consecuencias políticas generales. Ambos motivos se corresponden con dos de las causas que este tribunal enunció como supuestos en los que un recurso de amparo tiene especial trascendencia constitucional, en los apartados a) y g) del FJ 2 de la STC 155/2009, de 25 de junio.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Disentimos de las razones que han llevado a la mayoría de la Sala Segunda de este tribunal a la admisión de estos recursos de amparo contra las sentencias condenatorias en el conocido como caso ERE. La queja nuclear que en estos recursos se plantea radica en la pretendida vulneración del derecho a la legalidad penal (art. 25.1 CE), cuestionando los recurrentes al abrigo de este derecho fundamental la interpretación que ha llevado a cabo en su sentencia la Sala Segunda del Tribunal Supremo, bien del art. 404 CP, al tipificar el delito de prevaricación, bien del art. 432 CP, al tipificar el delito de malversación, confirmando en casación la sentencia condenatoria dictada por la Audiencia Provincial de Sevilla.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interpretación que deba darse a dichos preceptos del Código penal y su aplicación al caso constituye, sin embargo, una labor que, de conformidad con el art. 117.3 CE, compete exclusivamente a la jurisdicción ordinaria, en este supuesto, a la Audiencia Provincial de Sevilla y a la Sala de lo Penal del Tribunal Supremo. El Tribunal Constitucional ha señalado repetidamente que no tiene competencia para definir o interpretar los elementos objetivos y subjetivos del tipo penal, al tratarse de una cuestión de estricta legalidad ordinaria. En efecto, la función de interpretar y aplicar la legislación vigente, subsumiendo en las normas los hechos enjuiciados, corresponde en exclusiva a los jueces y tribunales, sin que pueda el Tribunal Constitucional sustituirles en dichas tareas ni determinar cuál de entre todas las interpretaciones posibles de la norma es la más correcta (entre otras muchas, SSTC 137/1997, de 21 de julio, FJ 7; 142/1999, de 22 de julio, FJ 4; 167/2001, de 16 de julio, FJ 3; 13/2003, de 28 de enero, FJ 3, y 51/2005, de 14 de marzo, FJ 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b) En algunos de dichos recursos de amparo se plantean, con carácter subsidiario, quejas relativas a la vulneración de los derechos a la defensa, a la presunción de inocencia y a un proceso con todas las garantías, si bien sobre dichas cuestiones ya existe una consolidada jurisprudencia de este tribunal, por lo que no estaríamos ante un supuesto en el que se “plantee un problema o una faceta de un derecho fundamental susceptible de amparo sobre el que no haya doctrina del Tribunal Constitucional”, tratándose de un problema que afecta meramente a su aplicación en el caso concreto. De nuevo, por tanto, una tarea de exclusiva competencia de la jurisdicción ordinaria.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 Por otro lado, la Sala ha decidido reconocer la especial trascendencia constitucional de los recursos de amparo también en atención a su relevancia social y a las consecuencias políticas generales, separándose del criterio mantenido en asuntos recientes en los que no hemos considerado suficiente para la admisión a trámite de un recurso ni la relevancia política ni la notoriedad pública del recurrente; y, tratándose de causas penales de corrupción, como en este caso, tampoco hemos estimado que la repercusión política o social que esas causas penales hubieran tenido dotase a los recursos de amparo de especial trascendencia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Así, en el año 2019 este tribunal inadmitió por falta de especial trascendencia constitucional el recurso de amparo interpuesto por el principal condenado en el conocido como el “caso Nóos” (recurso de amparo 5753-2018) y, con una evidente similitud con el asunto que nos ocupa, este tribunal inadmitió en el año 2021 todos los recursos de amparo interpuestos por las personas que habían sido condenadas en la conocida como “trama Gürtel”, también por falta de especial trascendencia constitucional (recursos de amparo 5630-2020, 5640-2020, 5817-2020, 5873-2020, 321-2021 y 833-2021).</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Asimismo cabe advertir que en el año 2020 inadmitimos los recursos de amparo interpuestos por los condenados en el denominado “caso de Las Teresitas” (recursos de amparo 3027-2019, 4373-2019 y 4389-2019), en los que se planteaba también, entre otras cuestiones, la vulneración del principio de legalidad penal por la indebida interpretación de los tipos penales relativos al delito de prevaricación (art. 404 CP) y al delito de malversación (art. 432 CP), por estimar como motivo de inadmisión que las cuestiones suscitadas carecían de especial trascendencia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 En definitiva, no solo no concurren en los recursos de amparo admitidos en los autos de los que disentimos razones que los hagan merecedores de una resolución sobre el fondo por parte de este tribunal, sino que, además, la Sala con la decisión adoptada se ha apartado sin justificación alguna del criterio seguido en asuntos precedentes en los que no hemos admitido la especial trascendencia constitucional de recursos de amparo que afectaban también a complejas causas penales de corrupción que han tenido lugar en nuestro país y que han alcanzado amplia repercusión política y mediática.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en este sentido emitimos nuestro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siete de junio de dos mil veintitrés.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