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2119-2023, promovido por don José Antonio Griñán Martínez, en relación con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30 de marzo de 2023 la representación procesal de don José Antonio Griñán Martínez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fue condenado por haber participado en los hechos anteriores, en su calidad de consejero de Economía y Hacienda, y presidente de la Junta de Andalucía, como autor de un delito de prevaricación (art. 404 del Código penal: CP) en concurso medial con un delito de malversación (art. 432 CP) a las penas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Imponiéndole el pago de dos treintaisieteavas partes de las costas procesales causadas, excluidas las de las acusaciones populares.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demandante se encuentra actualmente en libertad, habiéndose aplazado por parte de la Sección Primera de la Audiencia Provincial de Sevilla la decisión sobre la suspensión extraordinaria art. 80.4 CP hasta la recepción de informe médico-forense (diligencia reiterada por providencia de 31 de mayo de 2023) que evalúe la compatibilidad del tratamiento médico al que se encuentra sometido el demandante de amparo con el cumplimiento de la pena de prisión en establecimiento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formulan diversos motivos, distinguiendo las vulneraciones de derechos fundamentales producidas por la sentencia de instancia y las ocasionadas de forma autónoma por la sentencia de casación, que cabe sintetizar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Vulneración del derecho a la legalidad penal (art. 25.1 CE). Subsunción irrazonable de los hechos probados en el art. 404 CP, al considerar los órganos judiciales como “resolución en asunto administrativo” el trámite de elevar al Consejo de Gobierno el anteproyecto de ley de presupuestos de la comunidad autónoma y el acuerdo del Consejo de Gobierno de su aprobación y remisión al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Vulneración del derecho a la legalidad penal (art. 25.1 CE), en relación los derechos a la defensa y a un proceso con todas las garantías (art. 24.2 CE). Subsunción irrazonable de los hechos declarados probados en el delito de malversación del art. 432 CP, dada la inexistencia de relación objetiva entre el recurrente y las partidas malversadas. La falta de motivación de la sentencia de instancia en cuanto a la referida relación es suplida por la Sala Segunda del Tribunal Supremo desbordando sus funciones casacionales. Se ha impedido a la defensa probar la legalidad de las ayudas individuales concedidas, al haber sido excluidas del proceso y derivadas a otros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Vulneración del derecho a la legalidad penal (art. 25.1 CE). Subsunción irrazonable de los hechos probados en el delito de malversación del art. 432 CP, por manifiesta insuficiencia de elementos fácticos en los que concretar la existencia de dolo eventual, lo que convierte la condena del recurrente de amparo en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Vulneración del derecho a la presunción de inocencia (art. 24.2 CE). Falta absoluta de racionalidad de la valoración de la prueba sobre la que se asienta la apreciación de dolo eventual: que el demandante de amparo tenía conocimiento de la elevada probabilidad de la futura malversación de las ayudas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Vulneración del derecho a la presunción de inocencia extraprocesal (art. 24.2 CE), en relación con los derechos al honor (art. 18 CE), a un proceso público con todas las garantías (art. 24.2 CE) y a la tutela judicial efectiva (art. 24.1 CE). Se ha anticipado la publicación del fallo de la sentencia de casación, que le fue notificada al demandante casi dos meses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justifica la especial trascendencia constitucional del recurso por diferentes motivos: en primer lugar por la ausencia de doctrina constitucional [apartado a) del fundamento jurídico 2 de la STC 155/2009] sobre (i) el alcance del control administrativo de los actos de gobierno en el que está en juego el derecho fundamental al ejercicio de la función pública vinculado a la iniciativa legislativa como instrumento de dirección política, y que en este caso se encontraría imbricado con el derecho a la legalidad penal pues uno de los elementos del tipo aplicado es que la resolución arbitraria sea en asunto administrativo, (ii) la necesidad de dictar doctrina a fin de determinar si es respetuoso con el derecho a la legalidad penal (art. 25 CE) y el derecho a un proceso con todas las garantías (art. 24.2 CE) la decisión del Tribunal Supremo de proceder ex novo a una operación de subsunción jurídica para paliar la ausencia de motivación en la resolución dictada por la Audiencia Provincial, y (iii) sobre la afectación a diversos derechos fundamentales que tendría la práctica procesal del Tribunal Supremo de publicar únicamente el fallo de la sentencia, sin haberse notificado ni publicado el texto completo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defiende el demandante que el caso presenta relevante y general repercusión social y económica [supuesto g) enunciado en el fundamento jurídico 2 de la STC 155/2009], dado su carácter mediático y la circunstancia de que habrían sido procesados/condenados los miembros del gobierno de una comunidad autónoma por delitos cometidos en el ejercicio de su cargo, lo que supondría, a juicio del recurrente, una “expansión del poder judicial que pone en peligro el equilibrio entre los tres poderes del Estado provocando un efecto desaliento en la representación de la voluntad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solicita que se declare la vulneración de los derechos invocados, el restablecimiento de su contenido y la nulidad de las resoluciones impugnadas. Por otrosí solicita la suspensión parcial de ejecución de la sentencia (de la pena privativa de libertad) al amparo de lo dispuesto en el art. 56.6 de la Ley Orgánica del Tribunal Constitucional (LOTC), justificando la urgencia a que alude el precepto con la finalidad de evitar que el amparo pierda su eficacia reparadora. Recuerda que la suspensión solicitada pretende evitar un perjuicio real y efectivo que se derivaría del ingreso en prisión del demandante de amparo ya que: (i) ello afectaría a la libertad de manera irreparable y lesionaría su derecho de honor y la imagen pública que aquel tiene; (ii) concurren motivos humanitarios dada la avanzada edad del demandante (setenta y seis años) y dada cuenta de que se encuentra recibiendo un tratamiento agresivo para hacer frente a una enfermedad grave; (iii) resulta necesario tomar en consideración el largo tiempo transcurrido desde la comisión de los hechos, lo que, en palabras del recurrente, disminuye la alarma social generada.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30 de marzo de 2023 la representación procesal de don José Antonio Griñán Martínez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Por otrosí ha interesado que se acuerde la suspensión de la ejecución de la sentencia impugnada en lo relativo a la pena de prisión conforme permite el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 asimismo, la Sala aprecia que concurre en el recurso una especial trascendencia (art. 50.1 LOTC): (i) porque el recurso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(ii) porque el recurso plantea un problema o afecta a una faceta de un derecho fundamental sobre el que no hay doctrina de este tribunal [STC 155/2009, FJ 2 a)] dada cuenta que plantea la posible proyección de la regla de tratamiento que excluye actuaciones de los funcionarios y los poderes públicos que traten como culpable a quien no ha sido legalmente declarado como tal en tanto que el contenido del derecho a la presunción de inocencia (art. 24.2 CE) a la actuación cuestionada en la demanda de publicar el fallo confirmatorio de una condena sin haber notificado ni dado a conocer el texto de la sentencia; (iii)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 la petición de suspensión inaudita parte de la ejecución de la pena privativa de libertad al amparo de la previsión del art. 56.6 LOTC, no se aprecia, a la vista de las circunstancias del caso, la urgencia excepcional a la que se refiere el mencionado precepto. Estando aplazada la entrada en prisión del demandante de amparo y encontrándose pendiente aún de resolución la petición de suspensión del art. 80.4 CP, decaería el presupuesto de urgencia de la medida del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Sí procede, en consonancia con la petición subsidiaria de acordar la suspensión conforme a lo dispuesto en el art. 56.2 LOTC, formar la pieza separada de suspensión para oír a las demás partes y al Ministerio Fiscal (art. 56.4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atentamente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Rechazar la solicitud de suspensión formulada en la demanda de amparo con base en el art. 56.6 LOTC. Formar pieza separada de suspensión en la que se acordara lo procedente, y, en ella, conceder un plazo de tres días al Ministerio Fiscal y al solicitante de amparo para que efectúen alegaciones respecto a dicha petición.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FJ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