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5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2239-2023, promovido por don Juan Márquez Contreras en relación con (i) la sentencia núm. 490/2019, de 19 de noviembre, dictada por la Sección Primera de la Audiencia Provincial de Sevilla en el rollo núm. 1965-2017, dimanante del procedimiento abreviado núm. 133-2016; (ii) la sentencia núm. 749/2022, de 13 de septiembre de la Sala de lo Penal del Tribunal Supremo, en el recurso de casación núm. 601-2020, y (iii) el auto de 16 de febrero de 2013 de la misma Sala,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4 de abril de 2023 la representación procesal de don Juan Márquez Contreras interpuso recurso de amparo contra la sentencia núm. 490/2019, de 19 de noviembre, dictada por la Sección Primera de la Audiencia Provincial de Sevilla en el rollo núm. 1965-2017, dimanante del procedimiento abreviado núm. 133-2016, contra la sentencia núm. 749/2022, de 13 de septiembre, de la Sala de lo Penal del Tribunal Supremo, dictada en el recurso de casación núm. 601-2020, que desestimó el recurso de casación que interpuso contra la anterior sentencia, y contra el auto de 16 de febrero de 2023 de la misma sala que inadmitió el ulterior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de la demanda de amparo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dictada en fecha 19 de noviembre de 2019, la Audiencia Provincial de Sevilla condenó, en el marco de la denominada “pieza específica” del caso “ERE”, a diversos miembros del Gobierno y de la administración de la Junta de Andalucía —incluyendo desde presidentes de la comunidad a directores generales— por haber intervenido, a lo largo de casi diez años, en el diseño de un sistema ilegal de concesión de ayudas sociolaborales.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y sin perjuicio de la concreta participación que pudieron tener cada uno de los diferentes encausados/condenados y cuya extensión delimita los delitos por los que finalmente fueron sentenciados, la operativa imputada consiste en haber participado en la llamada fase prelegislativa (bien sea en la fase de elaboración de anteproyecto de ley, bien en la aprobación del proyecto de ley) para la elaboración de las leyes de presupuestos desde los años 2002 a 2009 y en su consiguiente elevación al Parlamento para su examen, enmienda y aprobación.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ilegalidad en la que se basarían los proyectos de ley, los anteproyectos de ley y las modificaciones presupuestarias se cifra en que la partida presupuestaria 22E, habitualmente utilizada para realizar transferencias en el marco de ayudas socio laborales, se encontraba (de conformidad con lo establecido en la Ley 5/1987 de 19 de julio —arts. 77, 81 y concordantes—) sujeta a control previo de la intervención general de la Junta de Andalucía y, por ende, a un seguimiento y control de fiscalización. Ante las dificultades surgidas en el año 2000 por los reparos presentados a diversos expedientes por la Intervención General, se procedió a una modificación presupuestaria a iniciativa de la Consejería de Empleo, por lo que, sin alterar el programa 22E, se modificó su clasificación incluyendo la cantidad presupuestaria en la partida presupuestaria 440.1.2 correspondiente a transferencias de financiación al Instituto de Fomento de Andalucía para que dicho instituto, bajo las directrices de la Consejería de Empleo, otorgara las ayudas sociolaborales sin el sometimiento al control previo de la administración. De esta manera se conseguía, de un lado, que los expedientes de gasto no fueran objeto de fiscalización en la Consejería, porque los fondos habían sido transferidos al Instituto de Fomento de Andalucía y, de otro, que en el Instituto de Fomento de Andalucía no pudiera llevarse a cabo esa fiscalización, ya que el instituto estaba sujeto a un control financiero permanente de manera que solo se fiscalizaba el pago a posteriori.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llevo a que en el año 2000 el Consejo de Gobierno de Andalucía aprobara dos modificaciones presupuestarias siguiendo el criterio de presupuestación anteriormente señalado, y que a partir del 2001 los fondos recibidos por el Instituto de Fomento de Andalucía fueran movilizados al destinatario final mediante suscripción de convenios particulares con otras entidades. Desde el año 2002 hasta el 2009 se procedieron a elaborar y aprobar los proyectos de ley de presupuestos en los que se incluía la partida “transferencias de financiación al Instituto de Fomento de Andalucía en materia de relaciones laborales” (partida destinada al equilibrio de las cuentas de pérdidas y ganancias de la citada empresa pública) en el nuevo programa 31L que sustituía al 22E, y, salvo en 2003, se aprobaron además modificaciones presupuestarias para elevar el crédito de la partida 440. En virtud de ello, las ayudas sociolaborales (en cuantía cercana a 700 millones de euros) habrían sido otorgadas, entre otros defectos: a) sin expediente de concesión; b) sin publicidad; c) sin fiscalización previa; d) sin autorización; e) sin memoria explicativa, y f) sin acreditación de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demandante, que ostentó el cargo de director general de trabajo de la Consejería de Empleo de la Junta de Andalucía desde abril de 2008 hasta abril de abril de 2010, fue condenado por un delito de prevaricación administrativa del art. 404 del Código penal (CP), en concurso medial con un delito de malversación de caudales públicos del art. 432 CP, a las penas de siete años y un día de prisión, y dieciocho años y un día de inhabilitación absoluta, con la consiguiente privación definitiva de todos los honores, empleos y cargos públicos, aunque sean electivos, e incapacidad para obtener los mismos o cualesquiera otros honores, cargos o empleos públicos y la de ser elegido para cargo público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demandante interpuso recurso de casación que fue estimado parcialmente en sentencia núm. 749/2022, de 13 de septiembre, de la Sala de lo Penal del Tribunal Supremo, que apreció la concurrencia de la circunstancia atenuante analógica de reparación del daño del art. 21.7 CP como muy cualificada y le rebajó en un grado las penas, que quedaron definitivamente fijadas en tres años de prisión y siete años y seis meses de inhabilitación absoluta.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promovió incidente de nulidad de actuaciones que fue inadmitido por auto de 16 de febrero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alegan como motivos de amparo las siguientes vulneraciones de derechos fundamentales: (i) del derecho a la presunción de inocencia (art. 24.2 CE) como regla de tratamiento en conexión con el derecho al honor (art. 18.1 CE) como consecuencia del anticipo del fallo condenatorio en providencia dictada por el Tribunal Supremo el 26 de julio de 2022, con mucha antelación a la notificación de la sentencia completa, que se produjo el 14 de septiembre de 2022; (ii) de los derechos a un proceso con todas las garantías, a la presunción de inocencia y a la tutela judicial efectiva (art. 24.1 y 2 CE) porque en la sentencia de casación se han incluido datos fácticos que no aparecen en el relato de hechos probados de la sentencia de primera instancia para apreciar un dolo directo de malversar que no se desprende de aquel, y (iii) del derecho a la presunción de inocencia (art. 24.2 CE) porque no existe un acervo probatorio concluyente para declararle culpable del delito de malversación, de modo que la condena se basaría en una valoración irracional, ilógica y arbitraria de la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justificación de la especial trascendencia constitucional se alega que no existe doctrina constitucional sobre la práctica de notificar y publicar únicamente el fallo de la sentencia antes de notificarse y publicarse la sentencia completa, práctica que merece ser erradicada porque supone una vulneración del derecho al honor y a la presunción de inocencia como regla de tratamiento. También se alega que se plantea una cuestión de relevante y general repercusión social por la extraordinaria divulgación mediática del caso, que ha dado lugar a la condena de dos presidentes de comunidad autónoma, por el contenido de la sentencia, que ha dado lugar a una desconocida formulación del delito de malversación de caudales públicos, y porque la solución que el Tribunal dé al caso determinará el éxito o el fracaso de las opciones de defensa en las múltiples piezas separadas cuyos juicios están pendientes de celebración.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se solicita la nulidad parcial de las resoluciones judiciales impugnadas y por otrosí la suspensión cautelar de la ejecución de la pena de prisión en los términos del art. 56.2 de la Ley Orgánica del Tribunal Constitucional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4 de abril de 2023 la representación procesal de don Juan Márquez Contreras interpuso recurso de amparo contra (i) la sentencia núm. 490/2019, de 19 de noviembre, dictada por la Sección Primera de la Audiencia Provincial de Sevilla en el rollo núm. 1965-2017 dimanante del procedimiento abreviado núm. 133-2016; (ii) la sentencia núm. 749/2022, de 13 de septiembre dictada por la Sala de lo Penal del Tribunal Supremo en el recurso de casación núm. 601-2020, que estima parcialmente el recurso de casación formulado por el demandante de amparo frente a la anterior, y (iii) el auto de la Sala de 16 de febrero de 2023, que inadmite el incidente de nulidad de actuaciones interpuesto frente a la citada sentencia desestimatoria. Por otrosí ha interesado la suspensión de la ejecución de la sentencia impugnada en lo relativo a la pena de prisión conforme al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que al amparo del art. 11.2 LOTC ha decidido asumir la decisión sobre la admisibilidad del presente recurso, tras su examen liminar, que es el que corresponde a esta fase del procedimiento, aprecia que las vulneraciones de derechos fundamentales aducidas en la demanda no carecen prima facie de verosimilitud; asimismo, la Sala aprecia que concurre en el recurso una especial trascendencia (art. 50.1 LOTC): (i) porque el recurso plantea un problema o afecta a una faceta de un derecho fundamental sobre el que no hay doctrina de este Tribunal [STC 155/2009, FJ 2 a)], concretamente sobre la posible proyección de la regla de tratamiento que excluye actuaciones de los funcionarios y los poderes públicos que traten como culpable a quien no ha sido legalmente declarado como tal en tanto que contenido del derecho a la presunción de inocencia (art. 24.2 CE) a la actuación cuestionada en la demanda de publicar el fallo confirmatorio de una condena sin haber notificado ni dado a conocer el texto de la sentencia, y (ii)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Avocar a la Sala la decisión de admisibilidad de este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Admitir a trámite el recurso de amparo, apreciando que concurre en el mismo una especial trascendencia constitucional [art. 50.1 b)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En aplicación de lo dispuesto en el art. 51 LOTC, requerir atentamente a la Sección Primera de la Audiencia Provincial de Sevilla a fin de que, en plazo que no exceda de diez días, remita certificación o fotocopia adverada de las actuaciones correspondientes al procedimiento abreviado núm. 133-2016, rollo núm. 1965-2017, así como emplazar a quienes hubieran sido parte en el procedimiento, excepto a la parte recurrente en amparo, para que en el plazo de diez días puedan comparecer, si lo desean, en el presente recurso. Requerir también, en el mismo sentido y con el mismo plazo, a la Sala de lo Penal del Tribunal Supremo para que remita certificación o fotocopia adverada de las actuaciones correspondientes al recurso de casación núm. 601-2020.</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4º Formar pieza separada de suspensión y en ella conceder un plazo de tres días al Ministerio Fiscal y al solicitante de amparo para que efectúen las alegaciones respecto de dicha cuestión.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5º Avocar al Pleno el conocimiento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conjunto que formulan los magistrados don César Tolosa Tribiño y don Enrique Arnaldo Alcubilla a los autos dictados en los recursos de amparo núm. 6971-2022, 7007-2022, 2119-2023, 2136-2023, 2239-2023, 2348-2023, 2360-2023, 2361-2023, 2391-2023, 2411-2023, 2485-2023 y 2552-2023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de la Ley Orgánica del Tribunal Constitucional, formulamos el presente voto particular. Consideramos, a diferencia de las resoluciones adoptadas por la Sala, que los recursos de amparo debieron ser inadmitidos a trámite por carecer de especial trascendencia constitucional [art. 50.1 b)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Los autos de la Sala de los que discrepamos aprecian dos motivos de especial trascendencia constitucional para acordar la admisión a trámite de los recursos de amparo. interpuestos por los recurrentes contra las sentencias condenatorias dictadas en la pieza principal de la causa judicial de los “ERE” de Andalucía (sentencia dictada por la Sección Primera de la Audiencia Provincial de Sevilla en rollo de sala núm. 1965-2017 y sentencia dictada por la Sala de lo Penal del Tribunal Supremo en recurso de casación núm. 601-2020). En primer lugar, que los recursos plantean problemas jurídicos que afectan a una faceta de un derecho fundamental sobre el que no hay doctrina constitucional. Además, que el asunto trasciende del caso concreto, debido a que plantea una cuestión jurídica de relevante y general repercusión social y que tiene unas consecuencias políticas generales. Ambos motivos se corresponden con dos de las causas que este tribunal enunció como supuestos en los que un recurso de amparo tiene especial trascendencia constitucional, en los apartados a) y g) del fundamento jurídico 2 de la STC 155/2009, de 25 de junio.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Disentimos de las razones que han llevado a la mayoría de la Sala Segunda de este tribunal a la admisión de estos recursos de amparo contra las sentencias condenatorias en el conocido como caso ERE. La queja nuclear que en estos recursos se plantea radica en la pretendida vulneración del derecho a la legalidad penal (art. 25.1 CE), cuestionando los recurrentes al abrigo de este derecho fundamental la interpretación que ha llevado a cabo en su sentencia la Sala Segunda del Tribunal Supremo, bien del art. 404 CP, al tipificar el delito de prevaricación, bien del art. 432 CP, al tipificar el delito de malversación, confirmando en casación la sentencia condenatoria dictada por la Audiencia Provincial de Sevilla.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interpretación que deba darse a dichos preceptos del Código penal y su aplicación al caso constituye, sin embargo, una labor que, de conformidad con el art. 117.3 CE, compete exclusivamente a la jurisdicción ordinaria, en este supuesto, a la Audiencia Provincial de Sevilla y a la Sala de lo Penal del Tribunal Supremo. El Tribunal Constitucional ha señalado repetidamente que no tiene competencia para definir o interpretar los elementos objetivos y subjetivos del tipo penal, al tratarse de una cuestión de estricta legalidad ordinaria. En efecto, la función de interpretar y aplicar la legislación vigente, subsumiendo en las normas los hechos enjuiciados, corresponde en exclusiva a los jueces y tribunales, sin que pueda el Tribunal Constitucional sustituirles en dichas tareas ni determinar cuál de entre todas las interpretaciones posibles de la norma es la más correcta (entre otras muchas, SSTC 137/1997, de 21 de julio, FJ 7; 142/1999, de 22 de julio, FJ 4; 167/2001, de 16 de julio, FJ 3; 13/2003, de 28 de enero, FJ 3, y 51/2005, de 14 de marzo,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En algunos de dichos recursos de amparo se plantean, con carácter subsidiario, quejas relativas a la vulneración de los derechos a la defensa, a la presunción de inocencia y a un proceso con todas las garantías, si bien sobre dichas cuestiones ya existe una consolidada jurisprudencia de este tribunal, por lo que no estaríamos ante un supuesto en el que se “plantee un problema o una faceta de un derecho fundamental susceptible de amparo sobre el que no haya doctrina del Tribunal Constitucional”, tratándose de un problema que afecta meramente a su aplicación en el caso concreto. De nuevo, por tanto, una tarea de exclusiva competencia de la jurisdicción ordinaria.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Por otro lado, la Sala ha decidido reconocer la especial trascendencia constitucional de los recursos de amparo también en atención a su relevancia social y a las consecuencias políticas generales, separándose del criterio mantenido en asuntos recientes en los que no hemos considerado suficiente para la admisión a trámite de un recurso ni la relevancia política ni la notoriedad pública del recurrente; y, tratándose de causas penales de corrupción, como en este caso, tampoco hemos estimado que la repercusión política o social que esas causas penales hubieran tenido dotase a los recursos de amparo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en el año 2019 este tribunal inadmitió por falta de especial trascendencia constitucional el recurso de amparo interpuesto por el principal condenado en el conocido como el “caso Nóos” (recurso de amparo 5753-2018) y, con una evidente similitud con el asunto que nos ocupa, este tribunal inadmitió en el año 2021 todos los recursos de amparo interpuestos por las personas que habían sido condenadas en la conocida como “trama Gürtel”, también por falta de especial trascendencia constitucional (recursos de amparo 5630-2020, 5640-2020, 5817-2020, 5873-2020, 321-2021 y 833-2021).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Asimismo cabe advertir que en el año 2020 inadmitimos los recursos de amparo interpuestos por los condenados en el denominado “caso de Las Teresitas” (recursos de amparo 3027-2019, 4373-2019 y 4389-2019), en los que se planteaba también, entre otras cuestiones, la vulneración del principio de legalidad penal por la indebida interpretación de los tipos penales relativos al delito de prevaricación (art. 404 CP) y al delito de malversación (art. 432 CP), por estimar como motivo de inadmisión que las cuestiones suscitadas carecían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 En definitiva, no solo no concurren en los recursos de amparo admitidos en los autos de los que disentimos razones que los hagan merecedores de una resolución sobre el fondo por parte de este tribunal, sino que, además, la Sala con la decisión adoptada se ha apartado sin justificación alguna del criterio seguido en asuntos precedentes en los que no hemos admitido la especial trascendencia constitucional de recursos de amparo que afectaban también a complejas causas penales de corrupción que han tenido lugar en nuestro país y que han alcanzado amplia repercusión política y mediática.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emitimos nuestro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siete de junio de dos mil veintitrés.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