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5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2411-2023, promovido por don Gaspar Zarrías Arévalo, en relación con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11 de abril de 2023 la representación procesal de don Gaspar Zarrías Arévalo interpuso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relevantes para resolver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dictada en fecha 19 de noviembre de 2019, la Audiencia Provincial de Sevilla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y sin perjuicio de la concreta participación que pudieron tener cada uno de los diferentes encausados/condenados y cuya extensión delimita los delitos por los que finalmente fueron sentenciados, la operativa imputada consiste en haber participado en la llamada fase prelegislativa (bien sea en la fase de elaboración del anteproyecto de ley, bien en la aprobación del proyecto de ley) para la elaboración de las leyes de presupuestos desde los años 2002 a 2009 y en su consiguiente elevación al Parlamento para su examen, enmienda y aprobación.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ilegalidad en la que se basarían los proyectos de ley, los anteproyectos de ley y las modificaciones presupuestarias se cifra en que la partida presupuestaria 22E, habitualmente utilizada para realizar transferencias en el marco de ayudas socio laborales, se encontraba (de conformidad con lo establecido en la Ley 5/1987, de 19 de julio, de la hacienda pública de la Comunidad Autónoma de Andalucía,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lo que, sin alterar el programa 22E, se modificó su clasificación incluyendo la cantidad presupuestaria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de un lado,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a posteriori.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llevó a que en el año 2000 el Consejo de Gobierno de Andalucía aprobara dos modificaciones presupuestarias siguiendo el criterio de presupuestación anteriormente señalado, siendo que a partir del 2001 los fondos recibidos por el Instituto de Fomento de Andalucía fueron movilizados al destinatario final mediante suscripción de convenios particulares con otras entidades. A partir del año 2002 y hasta el 2009 se procedieron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los 700 millones de euros) habrían sido otorgadas, entre otros defectos, sin expediente de concesión, sin publicidad, sin fiscalización previa, sin autorización, sin memoria explicativa y sin acreditación 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demandante de amparo fue condenado por su participación en tales hechos en su condición de consejero de Presidencia de la Junta de Andalucía, cargo que ocupó entre abril de 1996 y abril de 2009, como autor de un delito de prevaricación [art. 404 del Código penal (CP)] a la pena de nueve años de inhabilitación especial, con la consiguiente privación definitiva de todo cargo público de carácter electivo o de designación, en cualquier administración pública, y la incapacidad para obtenerlos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recurso de casación por la representación procesal del demandante fue desestimado íntegramente por sentencia del Tribunal Supremo núm. 749/2022, de 13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representación procesal del demandante de amparo presentó escrito interesando la aclaración o rectificación de la sentencia, que fue estimada parcialmente por auto del Tribunal Supremo de 14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del Tribunal Supremo de 16 de febrero de 2023 se inadmitió el incidente de nulidad de actuaciones formulado por el recurrente frente a la sentencia del Tribunal Supremo que desestimó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formulan dos motivos de amparo: (i) vulneración del derecho al juez ordinario predeterminado por la ley (art. 24.2 CE), en tanto el nombramiento de un juez de refuerzo y el acuerdo por el que se le atribuye la instrucción de la causa, quitándosela al anterior instructor, son contrarios al art. 216 bis 2, apartado 4 de la Ley Orgánica del Poder Judicial, y suponen la designación de un juez ad hoc; y (ii) vulneración de los derechos a la legalidad penal (art. 25.1 CE) y a la presunción de inocencia (art. 24.2 CE), por la subsunción irrazonable de la aprobación y elevación de un proyecto de ley al Parlamento o de la aprobación de una modificación presupuestaria en el tipo objetivo del delito de prevaricación (resolución arbitraria dictada en asunto administrativo) y por la falta de prueba del elemento subjetivo de la prevaricación (conocimiento de la ilegalidad del sistema de presupuestación).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justificar la especial trascendencia constitucional del recurso se alega: (i) respecto del derecho al juez ordinario predeterminado por la ley, que el Tribunal no ha tenido ocasión de pronunciarse sobre la admisibilidad de ceder a un juez de apoyo concreto la llevanza de una instrucción ya iniciada y atribuida al juez titular; (ii) respecto del derecho a la presunción de inocencia y del derecho a la legalidad penal, que se ve concernida la autonomía del poder legislativo, la naturaleza constitucional del proceso de iniciativa legislativa y, en definitiva, la correlación y equilibrio de los poderes en el marco de nuestra Constitución; (iii) que el asunto ha tenido una relevante y general repercusión social y política al condenar a los miembros del gobierno de la Junta de Andalucía por actuaciones en su labor política, legislativa y parlamentaria y que se han abierto o desglosado un número no inferior a 200 piezas por las ayudas concedidas, en cuya resolución puede reproducirse la argumentación de la sentencia del Tribunal Supremo, convirtiendo su interpretación en reiterada.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solicita que se pronuncie sentencia otorgando el amparo solicitado. Por otrosí digo solicita al Tribunal que acuerde la acumulación del recurso de amparo a todos los que se formulen contra la STS núm. 749/2022, de 13 de septiembre, al entender que la situación de todos los condenados y las pretensiones que se pueden formular son sustancialmente idénticas.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11 de abril de 2023 la representación procesal de don Gaspar Zarrías Arévalo interpuso recurso de amparo contra (i) la sentencia núm. 490/2019, de 19 de noviembre, dictada por la Sección Primera de la Audiencia Provincial de Sevilla en el procedimiento abreviado núm. 133-2016, rollo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que al amparo del art. 11.2 de la Ley Orgánica del Tribunal Constitucional (LOTC) ha decidido asumir la decisión sobre la admisibilidad del presente recurso, tras su examen liminar, que es el que corresponde a esta fase del procedimiento, aprecia que las vulneraciones de derechos fundamentales aducidas en la demanda no carecen prima facie de verosimilitud.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la Sala aprecia que concurre en el recurso una especial trascendencia (art. 50.1 LOTC): (i) porque el recurso plantea un problema o afecta a una faceta de un derecho fundamental sobre el que no hay doctrina de este Tribunal [STC 155/2009, de 25 de junio,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y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Avocar a la Sala la decisión de admisibilidad de este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Admitir a trámite el recurso de amparo, apreciando que concurre en el mismo una especial trascendencia constitucional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En aplicación de lo dispuesto en el art. 51 LOTC, requerir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4º Avocar al Pleno el conocimiento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fundamento jurídico 2 de la STC 155/2009, de 25 de junio.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emitimos nuestro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siete de junio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