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296-2020, promovido por doña María Rosa Coll Colom, en relación con la sentencia 39/2023, de 8 de mayo,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296-2020, interpuesto por doña María Rosa Coll Colom, contra la sentencia del Juzgado de lo Contencioso-Administrativo núm. 1 de Lleida, de 23 de septiembre de 2019, que desestimó los recursos contencioso-administrativos núm. 302-2018 y 457-2018, en el que han intervenido además el abogado del Estado, el Organismo Autónomo de Gestión y Recaptación de Tributos Locales de la Diputación de Lleida, y el Ministerio Fiscal, se dictó sentencia por esta Sala Segunda, con fecha 8 de mayo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fallo de la sentencia se acuerda “estimar el recurso de amparo interpuesto por doña María Rosa Coll Colom y,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el derecho fundamental de la demandante de amparo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Restablecerla en su derecho y, a tal fin, declarar la nulidad de la sentencia de 23 de septiembre de 2019 y del auto de 10 de diciembre de 2019 dictados por el Juzgado de lo Contencioso-Administrativo núm. 1 de Lleida en el procedimiento abreviado núm. 302-2018”.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fundamento jurídico quinto de la sentencia se establecen como efectos derivados de la estimación de la queja de amparo “la retroacción de actuaciones al momento inmediatamente anterior al del dictado de la sentencia de 23 de septiembre de 2019, para que el Juzgado de lo Contencioso-Administrativo núm. 1 de Lleida resuelva las demandas interpuestas en sendos recursos contencioso-administrativos con respeto al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notificada a la recurrente el pasado día 16 de mayo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día 17 de mayo, la recurrente solicita al amparo del art. 93.1 de la Ley Orgánica del Tribunal Constitucional (LOTC) la aclaración de dicha sentencia, en el sentido de que este tribunal se pronuncie sobre el “tema de la devolución de ‘[…] todas las costas exigidas y abonadas como consecuencia de la sentencia y del auto impugnados, así como los intereses devengados que legalmente correspondan’”.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declarado reiteradamente que la solicitud de aclaración prevista en el art. 93.1 LOTC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y 128/2017, de 22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solicitante de la aclaración interesa que nos pronunciemos sobre la devolución de las costas que fueron abonadas en la vía judicial previa, con sus intereses legales. Dichas costas se impusieron tanto por la sentencia de 23 de septiembre de 2019 (que impuso las costas hasta el límite de cien euros) como por el auto de 10 de diciembre de 2019 (que impuso las costas hasta el límite de cincuenta euros), resoluciones judiciales anuladas en nuestra sentencia de 8 de mayo de 2023. Por lo tanto, la petición de la actora concierne a los efectos que deban derivarse de la anulación de dichas resoluciones judiciales, y dichos efectos son una cuestión que deberá determinar el órgano judicial de instancia dado que es de su competencia dar cumplimiento a la sentencia resolutoria del recurso de amparo (en sentido similar, ATC 102/2020,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por tanto, acceder a lo interesado por la parte compareciente, pues no existen en este caso conceptos oscuros que aclarar, ni omisión alguna que suplir.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