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333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en el recurso de amparo núm. 7042-2021, promovido por la mercantil Tubos Reunidos, S.A.,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noviembre de 2021 el procurador de los tribunales don Jacobo Gandarillas Martos, en nombre y representación de la mercantil Tubos Reunidos, S.A., y bajo la dirección de letrado don Alfonso del Castillo Bonet, interpuso demanda de amparo contra sentencia núm. 188/2020, de 29 de junio, dictada por la Sección Primera de la Sala de lo Contencioso-Administrativo del Tribunal Superior de Justicia del País Vasco, en el recurso contencioso-administrativo núm. 132-2019; la providencia de 22 de abril de 2021, dictada por la Sección Primera de la Sala de lo Contencioso-Administrativo del Tribunal Supremo, por la que se acuerda la inadmisión del recurso de casación núm. 5168-2020; y la providencia de 21 de septiembre de 2021, por la que se inadmite el incidente de nulidad promovido frente a la providencia de inadmisión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providencia de inadmisión del recurso de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7042-2021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