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6203-2022, promovido por doña María del Pilar Valcarcel Cidad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septiembre de 2022 la procuradora de los tribunales doña Ana María Araúz de Robles Villalón, en nombre y representación de doña María del Pilar Valcárcel Cidad y bajo la dirección del letrado don Francisco Javier Araúz de Robles Dávila, interpuso demanda de amparo contra la providencia de 6 de julio de 2022 dictada por la Sección Primera de la Sala de lo Contencioso-Administrativo del Tribunal Supremo en recurso de casación núm. 8518-2021.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6203-2022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