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370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17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en el recurso de amparo núm. 6255-2022, promovido por Penrei Inversiones, S.L., en relación con el auto de 14 de noviembre de 2018 dictado por el Juzgado de Primera Instancia e Instrucción núm. 4 de Lorca, en el procedimiento de ejecución hipotecaria núm. 355-2018, y el auto sin fecha que desestimó el recurso de reposición interpuesto contra el anterior,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22 de septiembre de 2022 la procuradora de los tribunales doña Blanca Berriatua Horta, en nombre y representación de Penrei Inversiones, S.L., interpuso recurso de amparo contra (i) el auto de 14 de noviembre de 2018 dictado por el Juzgado de Primera Instancia e Instrucción núm. 4 de Lorca, en el procedimiento de ejecución hipotecaria núm. 355-2018, promovido por Banco de Sabadell, S.A., por el que se inadmitía a trámite, por extemporánea, la demanda de oposición a la ejecución formulada por Penrei Inversiones, S.L., y por la otra entidad demandada en el mismo procedimiento, Euroinversiones Inmobiliarias Costa Sur, S.L., y (ii) contra el subsiguiente auto, que no lleva fecha, y que le fue notificado a la recurrente el 11 de julio de 2022, desestimatorio del recurso de reposición que interpuso contra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recurrente alega que estas resoluciones judiciales vulneraron su derecho fundamental a la tutela judicial efectiva sin indefensión (art. 24.1 CE) porque el juzgado le dio traslado de la demanda de ejecución hipotecaria, del auto ordenando el requerimiento de pago y el despacho de la ejecución y de los demás documentos aportados por la parte ejecutante por medio de un correo electrónico que, conforme a doctrina constitucional consolidada, de la que son muestra las SSTC 40/2020, de 27 de febrero y 43/2020, de 9 de marzo, no cumple los requisitos exigibles al primer emplazamiento o citación al demandado fijados en el art. 155 de la Ley de enjuiciamiento civil (en soporte papel y en su domicilio) y consecuentemente no puede ser tomado en consideración para el cómputo del plazo de diez días establecido en la ley procesal para la interposición de la correspondiente demanda de oposición a la ejecución, como ha sido el caso, en que su demanda de oposición a la ejecución ha sido inadmitida por extemporánea. Solicita la nulidad de ambas resoluciones judiciales y la retroacción del procedimiento al momento oportuno para que se practique el emplazamiento de la recurrente de forma correcta.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en el otrosí segundo del recurso solicita la suspensión de la continuación del procedimiento de ejecución hipotecaria, pues su prosecución, con celebración de subasta y eventual adjudicación del bien hipotecado a terceros, podría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20 de enero de 2023 se puso en conocimiento de las partes y del Ministerio Fiscal que en virtud del acuerdo adoptado por el Pleno del Tribunal Constitucional el día 17 de enero de 2023, publicado en el “Boletín Oficial del Estado” de 19 de enero de 2023, el presente recurso de amparo había sido turnado a la Sección Primera de la Sala Primera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del Tribunal Constitucional por providencia de 19 de junio de 2023 acordó admitir a trámite el recurso de amparo apreciando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FJ 2 f)].</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misma resolución se acordaba dirigir atenta comunicación al Juzgado de Primera Instancia e Instrucción núm. 4 de Lorca para que emplazasen, en el plazo de diez días, a quienes hubieran sido parte en el procedimiento, excepto a la parte recurrente en amparo, para que pudieran comparecer si lo desearan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misma fecha la Sección Primera que acordó la formación de pieza separada de suspensión y el otorgamiento, conforme al art. 56 LOTC, de un plazo común de tres días al Ministerio Fiscal y a la solicitante de amparo para que alegasen lo que estimasen pertinente en relación con la petición de suspensión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27 de junio de 2023 la representación procesal de la entidad recurrente presentó escrito de alegaciones en el que, previa cita de los AATC 21/2018, de 5 de marzo; 58/2018, de 4 de junio, y 117/2018, de 29 de octubre, sostiene que de seguirse adelante la ejecución podría producirse la transmisión irrecuperable del dominio del bien inmueble, creándose una situación difícilmente reversible que menoscabaría los fines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7 de julio de 2023 la Fiscalía ante el Tribunal Constitucional presentó escrito de alegaciones en el que se opuso a la suspensión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que suscribe el escrito, tras sintetizar las vicisitudes del procedimiento de ejecución hipotecaria del que trae causa el recurso de amparo, cita doctrina constitucional en relación con los perjuicios de contenido patrimonial o económico, doctrina en la que se señala que por más que puedan producir efectos desfavorables al demandante de amparo, no pueden considerarse en principio causa suficiente para acordar la suspensión de una resolución judicial firme, pues dichos prejuicios son susceptibles de ser reparados en la hipótesis de que la petición de amparo sea estimada (AATC 116/2008, de 28 de abril; 25/2009, de 26 de enero; 145/2010, de 18 de octubre, y 199/2010, de 21 de diciembre, FJ 2); señala seguidamente que, como excepción a esta regla, el Tribunal Constitucional ha accedido a la suspensión solo en aquellos supuestos en los que la ejecución de lo acordado acarree perjuicios patrimoniales difícilmente reparables por su entidad, por la imposibilidad de repercutir su costo o por la irreversibilidad de las situaciones jurídicas que puedan producirse, como cuando con la ejecución de lo acordado se pueda producir la transmisión irrecuperable del dominio sobre un determinado bien (ATC 117/2018, de 29 de octubre, FJ 2) y aduce que en el presente caso la recurrente no ha cumplido mínimamente la carga de alegar y probar el riesgo de que se produzca una situación irreversible, pues “conforme a lo expresado en el escrito de alegaciones presentado por la demandante de amparo en la pieza de suspensión, en el procedimiento de ejecución todavía no ha sido celebrada la subasta, así se deduce cuando manifiesta que ‘de continuar adelante con la subasta y posible adjudicación a terceros de buena fe o al propio ejecutante, y la desposesión del bien ejecutado, conllevaría a situaciones irreversibles, con un inevitable perjuicio para mi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no obstante, que “para evitar el perjuicio que pudiera suponer la adquisición de la finca por terceros de buena fe, que la hicieran irreivindicable, procede, si el Tribunal Constitucional lo estimara oportuno, de oficio, dado que no se ha solicitado así por la parte recurrente, acordar la anotación preventiva de la demanda en el registro de la propiedad, a tenor de lo previsto en el art. 56.3 LOTC, siempre que el estado de las actuaciones lo permita para no perjudicar los derechos de los terceros de buena fe”.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es determinar si procede suspender la tramitación del procedimiento de ejecución hipotecaria núm. 355-2018 seguido en el Juzgado de Primera Instancia e Instrucción núm. 4 de Lorca, lo que ha sido solicitado por la recurrente porque a su entender la continuación del procedimiento podría conducir a la transmisión del dominio del bien inmueble hipotecado, creándose una situación difícilmente reversible que menoscabaría los fines del recurso de amparo. El Ministerio Fiscal se opone a la suspensión solicitada porque considera que la recurrente no ha cumplido la carga de alegar y probar el perjuicio irreversible al que hace referencia, sin determinar siquiera si el bien ha sido subastado, aunque considera que sería procedente la anotación preventiva de la demanda en el registro de la propiedad para preservar los derechos de terceros de buena fe.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LOTC dispone que cuando la ejecución del acto o sentencia impugnados produzca un perjuicio al recurrente que pudiera hacer perder al amparo su finalidad, se podrá acordar, de oficio o a instancia del recurrente,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trata de una medida de carácter excepcional y de aplicación restrictiva (por todos, AATC 117/2015, de 6 de julio, FJ 1, y 59/2017, de 24 de abril, FJ 1), por lo que la regla general es la improcedencia de la suspensión de las resoluciones judiciales, por la perturbación de la función jurisdiccional que la misma supone, salvo en los casos en los que se acredite tanto el carácter irreparable del perjuicio para los derechos fundamentales, como la pérdida de la finalidad del amparo en caso de mantenerse la ejecución de la resolución (por todos, AATC 40/2008, de 11 de febrero; 59/2008, de 20 de febrero; 2/2009, de 12 de enero, y 12/2009, de 26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 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(AATC 44/2008, de 11 de febrero, FJ 1; 59/2008, de 20 de febrero, FJ 1; 67/2008, de 25 de febrero, FJ 1; 109/2008, de 14 de abril, FJ 1; 111/2008, de 14 de abril, FJ 1; 118/2008, de 28 de abril, FJ 1, y 172/2008, de 23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establecido asimismo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(por todos, AATC 251/2000, de 30 de octubre, FJ 1; 63/2001, de 26 de marzo, FJ 1; 170/2001, de 22 de junio, FJ 1; 9/2003, de 20 de enero, FJ 1; 338/2005, de 26 de septiembre, FJ 1; 286/2007, de 18 de junio, FJ 1, y 233/2008, de 21 de julio,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Solo hemos accedido a la suspensión en aquellos supuestos en los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de 2 de julio, FJ único, y 52/1989, de 30 de enero,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aquellos,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o justifique, ofreciendo un principio razonable de prueba, el carácter no reparable o la dificultad de la reparación de los perjuicios derivados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anotación preventiva de la demanda de amparo, “se trata de una medida cautelar que este tribunal, de conformidad con el artículo 56 LOTC, puede adoptar de oficio o a instancia de parte, con fundamento en el artículo 42.1 de la Ley hipotecaria (AATC 274/2002, de 18 de diciembre, 257/2003, de 14 de julio, 230/2007, de 7 de mayo, FJ 3; 415/2007, de 5 de noviembre, FJ 4, y 28/2009, de 26 de enero, FJ 2), limitándose nuestra decisión en esta materia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(ATC 21/2018, de 5 de marzo,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esta doctrina al supuesto que aquí se examina permite concluir, de acuerdo con lo manifestado en sus alegaciones por la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hace referencia de una manera genérica a que la continuación del procedimiento podría dar lugar a la transmisión de la propiedad del bien inmueble creando una situación irreversible, pero lo hace sin aportar dato o información alguna que permita a este tribunal apreciar esa circunstancia, no siendo posible afirmar que la continuación del curso del procedimiento judicial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procede acordar, de modo alternativo, la medida cautelar de anotación preventiva de la demanda de amparo en el registro de la propiedad, en cuanto se reputa medida idónea para evitar el perjuicio derivado de que la adquisición del bien por un tercero de buena fe lo hiciera irreivindicable, situación a la que hace referencia la fiscal en su escrito de alegaciones. Se trata de una solución que ha sido acogida, entre otros, en los AATC 106/2017, de 17 de julio, FJ 3; 88/2018, de 17 de septiembre, FJ 5; 2/2019, de 9 de enero, FJ 4; 85/2019, de 15 de julio; 177/2019, de 16 de diciembre, FJ 3, o 171/2022, de 28 de noviembre,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355-2018 seguido en el Juzgado de Primera Instancia e Instrucción núm. 4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