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408</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septiembre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2432-2023, promovido por don Fernando Casamayor Victoria y otros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12 de abril de 2023 la procuradora de los tribunales doña Ana María Araúz de Robles Villalón, en nombre y representación de don Fernando Casamayor Victoria y otros y bajo la dirección del letrado don Francisco Javier Araúz de Robles Dávila, interpuso demanda de amparo contra el  auto de 16 de noviembre de 2022 de la Sección Primera de la Sala de lo Contencioso-Administrativo del Tribunal Supremo en recurso de queja núm. 272-2022.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2432-2023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septiembre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