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2723-2023, promovido por doña Delfina Martínez Bailez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abril de 2023 la procuradora de los tribunales doña Ana María Araúz de Robles Villalón, en nombre y representación de doña Delfina Martínez Bailez y bajo la dirección del letrado don Francisco Javier Araúz de Robles Dávila, interpuso demanda de amparo contra providencias de la Sección Primera de la Sala de lo Contencioso-Administrativo del Tribunal Supremo en recurso de casación núm. 2844-2022.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2723-2023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