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424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3427-2023, promovido por doña María Milagrosa Rodríguez García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23 de mayo de 2023 la procuradora de los tribunales doña Ana María Araúz de Robles Villalón, en nombre y representación de doña María Milagrosa Rodríguez García y bajo la dirección del letrado don Francisco Javier Araúz de Robles Dávila, interpuso demanda de amparo contra auto y providencia de la Sección Primera de la Sala de lo Contencioso-Administrativo del Tribunal Supremo en recurso de queja núm. 354-2022.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3427-2023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