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112</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25 de septiembre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los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número 1750-2021, promovido por Movemos Madrid, S.L., representada por la procuradora de los tribunales doña Sonia Rivas Farpón y asistida por el abogado don Jaime Rodríguez Díez, contra la desestimación por silencio administrativo negativo de la solicitud de 7 de mayo de 2018 de convocatoria de concurso para la adjudicación de las licencias disponibles de comunicación audiovisual de radiodifusión sonora digital de ámbito local en la Comunidad Autónoma de Castilla y León. Ha comparecido la referida comunidad autónoma y ha intervenido el Ministerio Fiscal.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25 de marzo de 2021, la procuradora de los tribunales doña Sonia Rivas Farpón, actuando en nombre y representación de Movemos Madrid, S.L., bajo la defensa del letrado don Jaime Rodríguez Díez, interpuso demanda de amparo contra la desestimación presunta arriba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Movemos Madrid, S.L., interpuso recurso contencioso administrativo contra la desestimación por silencio administrativo negativo de su solicitud de 7 de mayo de 2018 instada ante la Consejería de Fomento y Medioambiente de la Junta de Castilla y León para la convocatoria de concurso para la adjudicación de las licencias disponibles de comunicación audiovisual de radiodifusión sonora digital de ámbito local en la Comunidad Autónoma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Sala de lo Contencioso-Administrativo del Tribunal Superior de Justicia de Castilla y León, con sede en Valladolid, estimó el recurso interpuesto por sentencia de 20 de mayo de 2020 al concluir que la obligación de la administración de convocar las licencias de comunicación audiovisual que estén libres, vacantes o desiertas, sea la causa que sea, no puede quedar enervada por lo previsto en el art. 27.4 de la Ley general de la comunicación audiovisual (LGCA).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 dicha sentencia la representación procesal de la Comunidad Autónoma de Castilla y León interpuso recurso de casación, que fue estimado por sentencia de la Sección Tercera de la Sala de lo Contencioso-Administrativo del Tribunal Supremo de 11 de marzo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al interés casacional advertido en el auto de admisión a trámite, la sentencia de casación expone la existencia de dos criterios jurisdiccionales distintos entre los diferentes tribunales superiores de justicia y distingue el caso que se le plantea, relativo a las circunstancias de aplicación y a los efectos que los plazos prevenidos en el art. 27.4 LGCA puedan tener sobre los planes técnicos y sobre la cobertura de las licencias vacantes, de otros examinados por el propio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Colige que nada hay en el art. 27 LGCA que pueda considerarse irrazonable o indebidamente restrictivo, en particular, al prever que el no aprovechamiento de espacios reservados al dominio público radioeléctrico para servicios de radiodifusión en un plazo concreto de tiempo tras la aprobación de la planificación correspondiente hace decaer dicha reserva. Tampoco considera que la aplicación del art. 27.4 LGCA incurra en prohibición de irretroactividad porque se proyecte sobre una planificación técnica aprobada con anterioridad a la entrada en vigor de la Ley general de la comunicación audiovisual, concluyendo que “de conformidad con lo dispuesto en el artículo 27.4 de la Ley general de comunicación audiovisual, en caso de transcurso de los plazos estipulados en dicho precepto tras la aprobación de un plan técnico nacional de un servicio de radio o televisión, sin que la administración haya solicitado la afectación al servicio público de radio o televisión de que se trate de la reserva de dominio prevista en el citado plan o se haya convocado concurso para el otorgamiento de licencias, y sin que ningún interesado haya solicitado dicha convocatoria, la reserva de dominio decaerá y será excluida de la planificación. En consecuencia y dados tales presupuestos, la administración no estaría ya obligada a la convocatoria de concurso a solicitud de cualquier interesado hasta que se efectúe una nueva reserva de dominio y se produzca la correspondiente afectación al servicio público de radio o televisión”.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alegan las siguientes vulneraciones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Afirma que la negativa a convocar un concurso público por parte del Gobierno de la Comunidad Autónoma de Castilla y León amparándose en el transcurso de un plazo imputable a su propia inactividad y el consiguiente decaimiento de la planificación del espacio radioeléctrico ha imposibilitado el ejercicio de los derechos fundamentales a la libertad de información, comunicación y expresión, en relación con el art. 14 CE, en concreto, de su derecho a crear los medios de comunicación indispensables para el ejercicio del derecho a expresar y difundir libremente los pensamientos, ideas y opiniones mediante la palabra, el escrito o cualquier otro medio de reproducción [art. 20.1 a) CE] y a comunicar o recibir libremente información veraz por cualquier medio de difusión [art. 20.1 d) CE]. Entiende que prevalece el deber de convocar el concurso de adjudicación (art. 27.2 LGCA) sobre el eventual decaimiento de la reserva del espectro radioeléctrico (art. 27.4 LGCA) por lo que ha sido la inacción de la administración pública la causante de que no se haya aprovechado el espectro que el Estado ha otorgado a la comunidad autónoma, lo que invalida el acto recurrido por ser contrario a los derechos invocados. Alega que otras comunidades autónomas han procedido a efectuar los concursos de licencias más allá del plazo establecido y que la negativa a convocar los concursos de adjudicación de licencias vacantes es incompatible con la Directiva 2018/1972, de 11 de diciembre, por la que se establece el Código europeo de las comunicaciones electrónicas, por crear barreras de acceso al mercado e inutilizar el espectro radioeléctrico.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también que existe una patente contradicción entre las sentencias del Tribunal Supremo al diferenciar incorrectamente entre licencias de televisión digital y licencias de radiodifusión digital para la protección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en fin, que la negativa a conceder una licencia de radiodifusión infringe el art. 10, apartado 1, del Convenio europeo de derechos humanos (CEDH) y cita las resoluciones del Tribunal Europeo de Derechos Humanos de 20 de octubre de 1997, asunto Radio ABC c. Austria; de 23 de noviembre de 1999, asunto Leveque c. Francia; de 7 de noviembre de 2000, asunto United Christian Broadcasters Ltd. c. Reino Unido; de 11 de octubre de 2007, asunto Glas Nadejda EOOD y Elenkov c. Bulgaria; de 17 de junio de 2008, asunto Meltex Ltd. y Movsessian c. Armenia, así como el dictamen del Comité de Derechos Humanos de Naciones Unidas, de 27 de octubre de 2016, en el caso Azagade c. Azerbaiyán.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considera vulnerado el derecho a la igualdad (art. 14 CE), al haberse convocado en otras comunidades autónomas concursos públicos de licencias de comunicación audiovisual. Mantiene que el art. 27.4 LGCA, al tener la consideración de normativa básica, debe aplicarse de forma similar en todo el territorio estatal y la dispar interpretación efectuada por las distintas comunidades autónomas, a juicio de la entidad recurrente, lesiona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octubre de 2022, la Sección Cuarta del Tribunal Constitucional acordó admitir a trámite la demanda de amparo, al apreciar que concurría en la misma una especial trascendencia constitucional [art. 50.1 de la Ley Orgánica del Tribunal Constitucional (LOTC)] porque el recurso podía dar ocasión al Tribunal para aclarar o cambiar su doctrina, como consecuencia de un proceso de reflexión interna [STC 155/2009, de 25 de junio, FJ 2 b)] y el asunto suscitado trascendía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acordó dar cumplimiento a lo dispuesto en el art. 51 LOTC y formar la correspondiente pieza separada de suspensión, que fue concluida por ATC 164/2022, de 28 de noviembre, en el que se acordó denegar la suspensión cautelar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Sección se tuvo por personada a la Comunidad Autónoma de Castilla y León. Y, a tenor de lo dispuesto en el art. 52 LOTC, se dio vista de las actuaciones, por un plazo común de veinte días, al Ministerio Fiscal y a las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 La Comunidad Autónoma de Castilla y León, con la representación y asistencia de letrada de su servicio jurídico, presentó sus alegaciones mediante escrito registrado el 11 de enero de 2023, en el que rechaza que se hayan vulnerado los derechos invocados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sus alegaciones mediante escrito registrado el 3 de febrero de 2023 en el que solicita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en primer lugar, que se haya producido una vulneración del art. 14 CE, al no existir el término válido de comparación exigido para que se produzca la vulneración, pues no se han dictado las resoluciones por los mismos órganos, ni en el caso del reproche dirigido al Tribunal Supremo concurre la identidad de supuestos exigida.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asimismo, la vulneración del art. 20.1 a) y d) CE al existir una regulación normativa que establece el marco temporal de reserva del espacio radioeléctrico a los efectos de convocar los correspondientes concursos. Entiende que corresponde al legislador una mayor libertad de configuración normativa para disciplinar los soportes técnicos e instrumentos de comunicación, que la que posee al ordenar directamente los derechos fundamentales del art. 20.1 CE. De este modo las resoluciones administrativas y las sentencias que aplican la regulación establecida en este ámbito difícilmente pueden lesionar los derechos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considera que las resoluciones del Tribunal Europeo de Derechos Humanos citadas no son aplicables por tratarse de decisiones de inadmisión o, en el caso de la STEDH de 20 de octubre de 1997, asunto Radio ABC c. Austria, porque toda la actividad se subordinaba a una concesión del legislador federal que no se produjo, situación que se mantuvo durante tres periodos de tiempo, supuesto distinto al contemplado en la regulación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21 de septiembre de 2023 se señaló para la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es determinar si la desestimación por silencio administrativo negativo de la solicitud de 7 de mayo de 2018 de convocatoria de concurso para la adjudicación de las licencias disponibles de comunicación audiovisual de radiodifusión sonora digital de ámbito local en la Comunidad Autónoma de Castilla y León, vulnera los derechos fundamentales a la libertad de información, comunicación y expresión [art. 20.1 a) y d) CE], en relación con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Remisión a lo resuelto en la STC 89/2023, de 18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problema constitucional que se plantea en este proceso de amparo es coincidente con el resuelto en la STC 89/2023, de 18 de julio, que excluyó que la actuación administrativa impugnada, en cuanto denegó la convocatoria del concurso solicitado para la concesión de licencias de prestación de servicios audiovisuales, vulnerara los derechos a expresar y difundir libremente los pensamientos, ideas y opiniones mediante la palabra, el escrito o cualquier otro medio de reproducción [art. 20.1 a) CE] y a comunicar o recibir libremente información veraz por cualquier medio de difusión [art. 20.1 d) CE], en relación con el principio de igualdad (art. 14 CE), lo que determina que, por idénticas razones, proceda desestimar 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Movemos Madrid, S.L.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septiembre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María Luisa Balaguer Callejón a la sentencia dictada en el recurso de amparo núm. 1750-2021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respeto al criterio reflejado en la sentencia a que se refiere el encabezamiento y, en ejercicio de la facultad que me confiere el art. 90.2 de la Ley Orgánica del Tribunal Constitucional, manifiesto mi discrepancia con la argumentación y fallo de la sentencia aprobada por la Sala. Por ello, me remito, en su totalidad, al voto particular que realicé a la STC 89/2023, de 18 de julio.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veinticinco de septiembre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