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Ramón Sáez Valcárcel y don Enrique Arnaldo Alcubilla, en el recurso de amparo núm. 8550-2022, promovido por doña María Encarnación Zalabardo Leiv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diciembre de 2022, el procurador de los tribunales don José Ramón García García, en nombre y representación de doña María Encarnación Zalabardo Leiva, interpuso demanda de amparo que fue turnada a la Sección Cuarta de este tribunal para resolver sobre su admisión a trámite con el núm. 855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1 de septiembre de 2023, la magistrada doña María Luisa Balaguer Callejón comunicó a los efectos oportunos, su voluntad de abstenerse en el presente recurso de amparo y todas sus incidencias, por entender que concurría la causa establecida en el artículo 219.13 de la Ley Orgánica del Poder Judicial (LOPJ), supletoria de la Ley Orgánica del Tribunal Constitucional (LOTC) (art. 80), toda vez que intervino en la adopción del dictamen núm. 804/2015, de 2 de diciembre, del Consejo Consultivo de Andalucía, en su condición de conseje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ña María Luisa Balaguer Callejón, magistrada de este tribunal, en virtud de lo previsto en los arts. 80 LOTC y 221.4 LOPJ, se estima justificada la causa de abstención formulada, puesto que la mencionada magistrada intervino, en calidad de consejera del Consejo Consultivo de Andalucía, en la adopción del dictamen núm. 804/2015 emitido por dicho órgano, lo que puede integrarse en la causa del art.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amparo núm. 8550-2022,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