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26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recurso de amparo núm. 2361-2023, promovido por don Jesús María Rodríguez Román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abril de 2023 la representación procesal de don Jesús María Rodríguez Román interpuso recurso de amparo contra: (i) la sentencia núm. 490/2019, de 19 de noviembre, dictada por la Sección Primera de la Audiencia Provincial de Sevilla en el procedimiento abreviado núm. 133-2016, rollo núm. 1965-2017, que le condenó como autor de un delito de prevaricación en concurso medial con un delito de malversación agravada a la pena de prisión de seis años y dos días, con inhabilitación especial para el derecho de sufragio pasivo por tiempo de la condena, así como a la pena de inhabilitación absoluta por tiempo de quince años y dos días, con privación definitiva de todos los honores, empleos y cargos públicos, aunque sean electivos, e incapacidad para obtener estos o cualesquiera otros honores; (ii) la sentencia de la Sala de lo Penal del Tribunal Supremo núm. 749/2022, de 13 de septiembre, que desestima el recurso de casación formulado por el demandante de amparo frente a la anterior (recurso de casación núm. 601-2020); y (iii) el auto del mismo órgano judicial de 16 de febrero de 2023, que inadmite el incidente de nulidad de actuaciones interpuesto frente a la citada sentencia desestimatoria.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alegan, como motivos de amparo, las siguientes vulneraciones de derechos fundamentales: (i) vulneración del derecho a la tutela judicial efectiva [arts. 24.1 y 6.1 del Convenio europeo de derechos humanos (CEDH)], a un proceso público con todas las garantías incluyendo la presunción de inocencia y vulneración del principio de legalidad penal (arts. 25 y 7 CEDH), en cuanto la condena por el delito de malversación carece de prueba de cargo suficiente sobre el elemento subjetivo (dolo eventual) y se funda en indicios que no son unívocos, ni concluyentes, así como en una inferencia demasiado abierta e indeterminada, cuya argumentación no puede considerarse lógica ni coherente, carente de sustrato probatorio y que implica un nuevo juicio de tipicidad, con base en un juicio de culpabilidad que parte de una presunción de participación, creando una especie de “dolo omnicomprensivo” que abarca los hechos calificados como prevaricación y malversación, sin que la sentencia de instancia hubiera realizado previamente un verdadero juicio de autoría; (ii) del derecho a la tutela judicial efectiva en su vertiente a la intangibilidad de las resoluciones judiciales, debido a que, a pesar de que la Audiencia Provincial de Sevilla excluyó las ayudas individuales del objeto de enjuiciamiento, el Tribunal Supremo, incurriendo en una reformatio in peius prohibida por la Constitución, las considera el soporte del delito de malversación; y (iii) del derecho a la legalidad penal (art. 25.1 CE), porque los órganos judiciales han llevado a cabo una interpretación extensiva y analógica in malam partem del elemento típico “resolución en asunto administrativo” del art. 404 del Código penal (CP), al considerar como “resolución en asunto administrativo” los acuerdos adoptados sucesivamente por el Consejo de Gobierno de la Junta de Andalucía por los que se aprobaron los anteproyectos de ley de presupuestos de la comunidad autónoma y se remitieron como proyectos de ley al Parlamento de Andalucía; y, en segundo lugar, porque los órganos judiciales habrían llevado a cabo una interpretación extensiva y analógica in malam partem del elemento típico “resolución en asunto administrativo” del art. 404 CP, al considerar como “resolución en asunto administrativo” los acuerdos adoptados por el Consejo de Gobierno de la Junta de Andalucía, relativos a determinadas modificaciones presupuestarias.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solicita por otrosí que, de conformidad con lo previsto en el art. 56.2 de la Ley Orgánica del Tribunal Constitucional (LOTC), se suspenda la ejecución de la sentencia condenatoria —únicamente de la pena privativa de libertad— argumentando que: (i) la duración de la pena de prisión no puede ser el único criterio a tener en cuenta para acceder o no a la suspensión; (ii) la sentencia dictada por el Tribunal Supremo en casación no lo ha sido por unanimidad; (iii) la suspensión de la pena privativa de libertad no supondrá en este caso una afectación al interés general; (iv) no existe riesgo de fuga; y (v) la pena impuesta comporta graves perjuicios para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ATC 292/2023, de 5 de junio, de conformidad con el art. 11.2 LOTC, avocó para sí la decisión de admisión a trámite del presente recurso de amparo y acordó su procedencia, apreciando que concurre en el mismo especial trascendencia constitucional (art. 50.1 LOTC), porque el recurso plantea un problema o afecta a una faceta de un derecho fundamental sobre el que no hay doctrina de este tribunal [STC 155/2009, de 25 de junio, FJ 2 a)] y porque el asunto suscitado trasciende del caso concreto ya que plantea una cuestión jurídica de relevante y general repercusión social y tiene unas consecuencias políticas generales [STC 155/2009, FJ 2 g)]. Además, en la misma resolución se decidió la formación de pieza separada de suspensión, y, en ella, conceder un plazo de tres días al Ministerio Fiscal y al solicitante de amparo para que efectuaran alegaciones respecto a dicha petición. Se acordó, asimismo, proponer la avocación al Pleno del conocimiento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en su reunión de 20 de junio de 2023, acordó recabar para sí el conocimiento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del recurrente presentó sus alegaciones mediante escrito registrado en este tribunal el 14 de junio de 2023. Comienza su escrito con una alegación previa referida a los antecedentes procesales en los que afirma que, tras ser denegada por los órganos judiciales la suspensión de la ejecución del fallo de la sentencia condenatoria, el recurrente en amparo ingresó voluntariamente en prisión el día 2 de enero de 2023. Por lo que se refiere al fondo, el escrito contiene una única alegación en la que se pone de relieve que: (i) el derecho a la libertad, reconocido no solo en nuestra Constitución, sino también en la Declaración universal de derechos humanos, en el Convenio europeo de derechos humanos, en el Pacto internacional de derechos civiles y políticos y en la Carta de derechos fundamentales de la Unión Europea, constituye una de las referencias cruciales del constitucionalismo, lo que se traduce en su carácter preponderante; (ii) aunque, según la doctrina constitucional, la regla general es la no suspensión cuando las penas privativas de libertad son superiores a cinco años, existen excepciones como la resuelta en el ATC 112/1998, de 18 de mayo; (iii) la suspensión en este caso no llevaría aparejada una perturbación del interés general ya que afecta a personas perfectamente insertas en la sociedad y en las que no existe riesgo de fuga. En el caso del señor Rodríguez Román, su entrada en prisión con el fin de dar cumplimiento a la sentencia condenatoria, fue retransmitida en directo, por lo que se ha dado cumplimiento al interés de prevención general; (iv) la verosimilitud de la lesión, reconocida ya por el Tribunal Constitucional en el auto por el que se admitió el recurso de amparo, así como los dos votos particulares que se formularon a la sentencia dictada en casación, ponen de relieve la posibilidad de que las resoluciones judiciales hayan incurrido en lesión de derechos fundamentales; y (v) las circunstancias personales del señor Rodríguez Román, en especial las familiares y las que afectan a su salud, traen consigo que el cumplimiento de la pena de prisión tenga efectos inhumanos.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día 30 de junio de 2023, interesó que se denegara la petición del recurrente. Después de recordar la doctrina constitucional sobre las medidas cautelares, considera que su aplicación al caso concreto debe llevar a denegar la suspensión solicitada debido a que: (i) la pena impuesta es de carácter grave y excede con creces de la frontera de los cinco años de prisión que marca la doctrina constitucional para atender la solicitud de suspensión; (ii) no concurren los supuestos excepcionales de suspensión de penas superiores a cinco años de prisión; (iii) la apariencia de buen derecho, alegada por el recurrente para avalar la suspensión, no es un criterio a tener en cuenta en la pieza de suspensión, pues ello supondría anticipar el enjuiciamiento del fondo del asunto; (iv) el que no exista riesgo de fuga no es un criterio suficiente por sí solo para acceder a la suspensión; y (v) al contrario de lo sostenido por el recurrente, la perturbación del interés general es mayor debido a que la condena lo es por delitos que protegen bienes jurídicos supraindividuales.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Partido Popular, a la que se ha tenido por personada y parte en la pieza principal por diligencia de ordenación de 27 de julio de 2023 del secretario de justicia del Pleno, presentó alegaciones en esta pieza separada el 1 de septiembre de 2023 en las que solicita la desestimación de las solicitudes de suspensión cautelar de las penas de prisión deducidas en sus recursos de amparo por los condenados en la causa antecedente, cuando se trate de penas de duración superior a los cinco años, conforme al criterio asentado en la doctrina constitucional (AATC 95/2019, de 23 de julio, FJ 2; 94/2020, de 10 de septiembre; 100/2022, de 16 de junio, y 130/2022, de 10 de octubre) de ponderar el interés general que se vería afectado por la medida cautelar en función de la gravedad de la pena concretamente impuesta, según exceda o no dicho límite temporal, salvo concurrencia de circunstancias excepcionales, que la parte entiende que no concurren en ninguno de ellos.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es determinar la procedencia de acordar la suspensión de las resoluciones judiciales impugnadas en el único extremo solicitado por el recurrente de la pena privativa de libertad de seis años y dos días que le fue impuesta como autor de un delito de prevaricación en concurso medial con un delito de malversación agravada.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tras subrayar el carácter preponderante del derecho de libertad, alega que, de no suspenderse la ejecución de la pena de prisión, se le causarían perjuicios irreparables a él y a su familia que considera de carácter inhumano. Afirma que acceder al otorgamiento de la medida cautelar no supondría ninguna perturbación grave de un interés constitucionalmente protegido, toda vez que no hay riesgo de fuga y existe además apariencia de lesión de los derechos fundamentales invocados en la demanda de amparo. El hecho de que la condena privativa de libertad sea superior a cinco años, no supone un óbice para acceder a la suspensión ya que existen supuestos excepcionales en los que esta medida se ha acordado.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interesa que se deniegue la medida cautelar debido a que no concurre ninguna circunstancia que permita, de forma excepcional, suspender una pena de prisión superior a cinco años. El Partido Popular también ha interesado la desestimación de la pretensión cautelar formulada con apoyo en análogos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de otra persona”.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 FJ 3,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condenas privativas de libertad son uno de los casos en los que este tribunal entiende procedente acordar la suspensión de su ejecución habida cuenta de que “la libertad constituye un derecho cuya naturaleza convierte el perjuicio irrogado en irreparable, en caso de estimarse el amparo una vez cumplida parcial o totalmente la pena” (ATC 93/2018, de 17 de septiembre, FJ 1, y los autos allí indicados). La jurisprudencia constitucional, en relación con la suspensión de las penas privativas de libertad, ha venido utilizando como criterio de ponderación prioritario el de gravedad de la pena, aplicando de forma reiterada como directriz inicial la de que la pena sea superior a los cinco años de prisión, por ser la que sirve al legislador penal para diferenciar entre las penas graves y las menos graves. 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otros,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dicha doctrina al supuesto que aquí se examina conduce a denegar la suspensión de la pena privativa de libertad impuesta al recurrente dada su duración, de seis años y dos días, que es muy superior a la que este tribunal ha venido considerando como límite a partir del cual no resulta, en principio, procedente la adopción de la medida cautelar de suspensión y sin que concurran alguno de los supuestos excepcionales de suspensión de penas superiores a cinco años de prisión. Junto a la gravedad de la pena, hay que atender también a la gravedad y trascendencia social de los hechos enjuiciados, en tanto que el recurrente fue condenado por delitos continuados contra la administración pública cometidos a largo de un dilatado período de tiempo, afectando, como afirma el fiscal, a bienes jurídicos supraindividuales.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el resto de los motivos aducidos por el recurrente para interesar la suspensión podrían justificar la adopción de la medida cautelar. Resulta patente que la imposición de una pena privativa de libertad de seis años y dos días no supone, en sí misma considerada, un trato inhumano. Asimismo y por lo que se refiere a la invocada apariencia de lesión de derechos fundamentales por las resoluciones judiciales impugnadas, debe recordarse que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130/2022, de 10 de octubre, FJ 4, 103/2023, de 6 de marzo, FJ 4, con cita del ATC 55/2018, de 22 de mayo, FJ 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la alegada inexistencia del riesgo de fuga es una “condición necesaria para que proceda la suspensión del cumplimiento de las [penas] privativas de libertad, pero no suficiente por sí sola, pues conforme a la doctrina establecida por este tribunal también deben concurrir los restantes requisitos en ella establecidos” (ATC 60/2020, de 17 de junio,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Estamos, en definitiva, ante una pena de prisión de duración netamente superior a los cinco años, sin que las razones alegadas por el demandante hagan desaparecer el cualificado interés general que, en un caso como este, presenta la ejecución de la resolución condenatoria firme.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en el recurso de amparo 2361-2023, promovido por don Jesús María Rodríguez Román en causa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