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presidenta, y doña María Luisa Segoviano Astaburuaga en el recurso de amparo núm. 2212-2023, promovido por don Alberto García González, contra la sentencia 19/2023, de 13 de marzo,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2212-2023 se impugna la sentencia 19/2023, de 13 de marzo, dictada por la Sala de lo Militar del Tribunal Supremo contra la sentencia dictada por el Tribunal Militar Territorial Cuarto, de 17 de marzo de 2022, sumario 42-03 por la que se condenó a don Alberto García González como autor de un delito consumado de revelación de secretos e informaciones relativas a la seguridad y defensa 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23 de octubre de 2023, el presidente don Cándido Conde-Pumpido Tourón, presidente de la Sección Primera del Tribunal Constitucional, comunicó a los efectos oportunos que se abstenía de intervenir en el recurso de amparo antes indicado, de conformidad con el art. 80 de la Ley Orgánica del Tribunal Constitucional,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2212-2023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