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24 de octubre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las magistradas y magistrados don Ricardo Enríquez Sancho, don Ramón Sáez Valcárcel, don Enrique Arnaldo Alcubilla, doña Concepción Espejel Jorquera, don César Tolosa Tribiño, don Juan Carlos Campo Moreno y doña Laura Díez Bueso, en el incidente de recusación del recurso de amparo núm. 4811-2023,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17 de julio de 2023 en el registro general del Tribunal, don Antonio López Navidad interpuso recurso de amparo, registrado con el núm. 4811-2023, contra el auto núm. 8/2023, de 25 de abril, dictado por la Sala Especial del art. 61 de la Ley Orgánica del Poder Judicial (LOPJ) del Tribunal Supremo, resolución que inadmitía a trámite la demanda de error judicial presentada por el ahora recurrente contra la sentencia de la Sala de lo Contencioso-Administrativo (Sección Sexta) del Tribunal Supremo núm. 1671/2019, de 3 de diciembre, recaída en el recurso ordinario núm. 365-2018.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27 de julio de 2023, el recurrente de amparo presentó un escrito en el que promovía incidente de recusación frente al magistrado don Cándido Conde-Pumpido Tourón y la magistrada doña María Luisa Segoviano Astaburuaga.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fecha 5 de septiembre de 2023, el secretario de Justicia del Pleno de este tribunal dictó diligencia de ordenación en la que se ordenaba formar pieza separada de recusación y se designaba ponente del incidente al magistrado don Juan Carlos Campo Moreno, de acuerdo con el turno establecido, “para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13 de septiembre de 2023, el recurrente de amparo presentó recurso de reposición contra la anterior diligencia de ordenación, alegando infracción del art. 223.3 LOPJ en su primer párrafo. Considera que, de acuerdo con la referida norma, el Tribunal debe proceder de inmediato a dar traslado de la recusación al Ministerio Fiscal y a la Abogacía del Estado a efectos de que se pronuncien en el plazo legalmente establecido en relación con la causa de recusación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hemos señalado en nuestro reciente Auto 6/2023, de 24 de enero, siguiendo lo resuelto en los AATC 43/2012, de 9 de marzo, FJ 1; 179/2019, de 16 de diciembre, FJ 1; 106/2020, de 21 de septiembre, FJ 1, y 16/2021, de 15 de febrero, FJ 1, las diligencias de ordenación dictadas por los secretarios de justicia del Tribunal Constitucional no son recurribles en reposición ante el propio secretario de justicia que las haya dictado, sin perjuicio de que puedan ser revisables por la correspondiente Sección de este tribunal o, en su caso, por las Salas o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procede el recurso de reposición que el actor pretende interponer contra la diligencia de ordenación de 5 de septiembre de 2023. No obstante, ello no impide que abordemos la pretensión que se formula en dicho recurso como una petición de revisión por este tribunal de lo acordado por el secretario de justicia del Pleno; pues, en último término, cualquiera que sea la denominación o veste otorgada al escrito presentado hay que atender, siguiendo un criterio antiformalista, a lo que en el mismo se interesa, que no es sino una revisión de lo acordado en la diligencia de ordenación, para que sea dejada sin efecto y se acuerde, en su lugar, el traslado a las partes previsto en el art. 223.3 LOPJ, como trámite propio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llegados a este punto no cabe sino confirmar en sus propios términos lo acordado en la diligencia de ordenación cuya revisión se solicita, por resultar la misma plenamente ajustada a Derecho. En efecto, la doctrina de este tribunal exige que la tramitación del incidente de recusación vaya precedida de un análisis liminar, del que puede resultar una decisión de inadmisión a trámite cuando razones procesales o de fondo así lo exijan (AATC 156/2022, de 16 de noviembre, FJ 2; o 31/2023, de 7 de febrero, FJ 2). Por tal razón, la designación de ponente constituye un antecedente procesal necesario a efectos de que el Pleno del Tribunal pueda adoptar la resolución que proceda en relación con la admisibilidad del incidente.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revisar la diligencia de ordenación del secretario de justicia del Pleno del Tribunal Constitucional de 5 de septiembre de 2023, que confirmamos íntegramente.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