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12 de diciembre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1922-2023, interpuesto por la Asamblea de Madrid contra el artículo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22 de marzo de 2023 en el registro del Tribunal Constitucional, los letrados de la Asamblea de Madrid, en nombre y representación de la Cámara, interpusieron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denuncia la vulneración de: a) la libertad de configuración normativa del Parlamento autonómico; b) los arts. 23, 66.2 y 87 CE, en relación con los arts. 110 y 126.5 del Reglamento del Congreso de los Diputados; c) la autonomía financiera de las comunidades autónomas [arts. 156.1 y 157.1 a) CE, en relación con el art. 51 y la disposición adicional primera, apartado 3 del Estatuto de Autonomía de la Comunidad de Madrid y los arts. 3, 10, 11 y 19 de la Ley Orgánica 8/1980, de 22 de septiembre, de financiación de las comunidades autónomas (en adelante, LOFCA)]; d) la reserva de ley orgánica del art. 157.3 CE; e) los principios de igualdad tributaria y capacidad económica (art. 31.1 CE); y f)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denuncia, en primer lugar, la vulneración de la libertad de configuración normativa del Parlamento autonómico, en el marco de la previa cesión de competencias efectuada por el Estado con base en los arts. 156 y 157 CE y en el resto de las normas del bloque de la constitucionalidad. Considera que la regulación de las comunidades autónomas, como la de Madrid, que tienen una bonificación de la cuota en el impuesto sobre el patrimonio, se ve superada para los sujetos pasivos del nuevo impuesto. Según alegan los letrados de la Asamblea, este tiene una regulación mimética a la del  impuesto sobre el patrimonio, estableciéndose mediante una norma paralela, sin haber seguido los cauces establecidos al efecto. Con ello se prescinde por completo de la libertad de configuración normativa del Parlamento autonómico, al hacer de imposible aplicación efectiva su regulación. Consideran que esto infringe los arts. 152.1, 156 y 157 CE, en relación con el art. 51 y el apartado 3 de la disposición adicional primera del Estatuto de Autonomía de la Comunidad de Madrid, con los arts. 3, 10, 11 b) y 19.2 LOFCA y con los arts. 25.1 b) y 31 de la Ley 22/2009, de 18 de diciembre, por la que se regula el sistema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los letrados de la Asamblea argumentan que la enmienda por la que se introdujo el impuesto temporal de solidaridad de las grandes fortunas no guarda relación alguna con el contenido previo de la proposición de ley. Con base en la doctrina constitucional sobre la exigible congruencia y homogeneidad entre la enmienda y el texto enmendado afirman que, aun cuando ambos se pudieran ubicar en el mismo sector material del ordenamiento jurídico, es preciso, además, que versen sobre el mismo objeto, lo que no acontece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mediante la introducción del impuesto temporal de solidaridad de las grandes fortunas, por vía de enmienda, se elimina la posibilidad de un pronunciamiento del Pleno de la Cámara, a través del debate de toma en consideración de la proposición de ley con relación al nuevo tributo que se crea. La demanda considera que esto lesiona los arts. 66.2 y 87 CE y el ius in officium de los parlamentarios y, por tanto, el art. 23 CE, en conexión con el art. 110 del Reglamento del Congreso de los Diputados, referido al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También se vulnera la autonomía financiera porque estamos ante un impuesto que es creado como complemento del impuesto sobre el patrimonio, afectando a la regulación de este allí donde las comunidades autónomas hayan aprobado una bonificación, como es el caso de la Comunidad de Madrid. La demanda subraya que la regulación madrileña se ve completamente comprometida por la actuación del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se vulnera también la corresponsabilidad fiscal porque la nueva regulación, además de suponer una modificación subrepticia del régimen del impuesto sobre el patrimonio en las comunidades autónomas que han aprobado una bonificación en la cuota, se realiza sin seguir los cauces establecidos al efecto en las normas integrantes del bloque de la constitucionalidad. Ni se ha reunido el Consejo de Política Fiscal y Financiera ni la Comisión Mixta entre el Estado y la comunidad autónoma, pese al importante papel de ambos órganos, reconocido por la jurisprudencia constitucional (cita la STC 13/2007, de 18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 las comisiones mixtas y, en lo atinente a la Comunidad de Madrid, de la comisión a que se refiere la disposición adicional primera de su estatuto, resultaba absolutamente necesaria, toda vez que el art. 3 de la Ley 38/2022 establece una regulación que hace “tabla rasa” del régimen jurídico de las comunidades autónomas que han ejercido su libertad de configuración normativa. Habiéndose preterido por completo los cauces establecidos en el ordenamiento con la finalidad de alcanzar un acuerdo previo entre las diversas instancias administrativas para lograr la satisfacción de los intereses generales, la lesión del principio de lealtad constitucional resulta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denuncia, asimismo, que se conculca la reserva de ley orgánica que establece el art. 157.3 CE respecto del ejercicio de las competencias financieras enumeradas en el apartado 1 del art. 157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se debe a que el impuesto sobre el patrimonio es un impuesto cedido y la superación, a través de la regulación contenida en un precepto aprobado mediante una ley ordinaria, del régimen establecido en las comunidades autónomas que han establecido una bonificación en la cuota de dicho tributo, infringe dicha reserva de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letrados de la Asamblea de Madrid sostienen que también se lesiona el principio de igualdad, reconocido en el art. 14 CE y, en lo que respecta al ámbito tributario, en el art. 31.1 CE. Entienden que el tratamiento jurídico diferenciado en el impuesto temporal de solidaridad de las grandes fortunas que atiende, única y exclusivamente, a la residencia fiscal del contribuyente y no a la capacidad económica, es contrario 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al principio de igualdad tributaria, la demanda considera adicionalmente que se vulnera del principio de capacidad económica del art. 31.1 CE porque la Ley 38/2022 permite deducir de la cuota del nuevo impuesto el importe de la cuota del impuesto sobre el patrimonio efectivamente satisfecha. Por tanto, el tributo impugnado tendrá una mayor repercusión o incidencia en los sujetos pasivos que residan en las comunidades autónomas en las que haya una bonificación en el impuesto sobre 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se alega como vulnerado el principio de seguridad jurídica (art. 9.3 CE) porque el devengo del impuesto temporal de solidaridad de las grandes fortunas se produce el 31 de diciembre y la Ley fue publicada el 28 de diciembre, lo que, fuera de toda duda, impide el conocimiento de las normas válidas y vigentes por los ciudadanos. Atendiendo a la doctrina constitucional, la confianza de los ciudadanos se ve completamente mermada, ya que en el momento de publicarse la norma restaban solo tres días para el momento del devengo del impuesto, lo que impide que los sujetos pasivos puedan conocer la nueva figura tributaria creada por el precepto impugnado. En concreto, a los sujetos pasivos por obligación personal no les fue posible modificar su residencia, que requiere la permanencia de más de 183 días al año en otro territorio distinto 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Cuarta, mediante providencia de 9 de mayo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y publicar la incoación del recurso en el “Boletín Oficial del Estado”, lo que tuvo lugar el 18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día 18 de mayo de 2023,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un escrito registrado el 31 de mayo de 2023, el presidente del Senado comunicó el acuerdo de la mesa de la Cámara por el que se daba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las Cortes Generales, actuando en nombre y representación del Congreso de los Diputados, presentó su escrito de alegaciones el 2 de junio de 2023. En él aborda, en primer lugar, la supuesta vulneración del art. 157.3 CE por no respetar la norma impugnada el rango de ley orgánica exigible y omitir las garantías previstas en el Estatuto de Autonomía de la Comunidad de Madrid.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Ley Orgánica de financiación de las comunidades autónomas ni de las demás normas aplicables, de acuerdo con las garantías procedimentales contenidas en el Estatuto. El preámbulo de la ley afirma que el nuevo impuesto es complementario del impuesto sobre el patrimonio, pero, a diferencia de este, no es susceptible de cesión y su umbral de tributación es muy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29/2010, de 16 de julio, del régimen de cesión de tributos del Estado a la Comunidad de Madrid. La finalidad armonizadora del  Ley 29/2010, de 16 de julio, del régimen de cesión de tributos a la Comunidad de Madrid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no haberse modificado la disposición adicional primera del Estatuto de Autonomía de la Comunidad Madrid, referido al alcance y las condiciones de la cesión, no se precisaba del acuerdo entre el Estado y la comunidad autónoma, ni de la convocatoria de la comisión mixta mencionada en la disposición transitoria segunda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precisaba de un proyecto de ley aprobado por el Consejo de Ministros, con todas las exigencias previas a las que están sujetas estas iniciativas. Tratándose de una proposición de ley, los únicos requisitos, de acuerdo con el art. 124 del Reglamento del Congreso y la práctica habitual de la Cámara, son que se incorpore una exposición de motivos y una breve relación de las normas vigentes que la proposición de ley pretende modificar, exigencias que aquí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que la conexión de homogeneidad se entienda de modo flexible, atendiendo a la función que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que no cabe declarar la inconstitucionalidad del art. 3 de la Ley 38/2022 por motivos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las actuaciones mediante un escrito presentado el 31 de mayo de 2023, en el que solicitaba una prórroga del plazo para la presentación de alegaciones, que fue ampliado en ocho días por diligencia de ordenación del secretario de justicia del Pleno de 1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escrito presentado el siguiente día 14 de junio, formuló sus alegaciones, en las que interesa la desestimación, con los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falta de homogeneidad entre la enmienda y el texto inicial de la proposición de ley, argumenta, con cita de las SSTC 70/2018, de 21 de junio, FJ 6, y 119/2011, de 5 de julio, FJ 7, así como del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no susceptible de cesión a las comunidades autónomas, cuyo objetivo es gravar con una cuota adicional los patrimonios de las personas físicas de cuantía superior a tres millones de euros.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invoca la STC 26/2015, de 19 de febrero, FJ 5, que, en el caso del impuesto estatal sobre depósitos en entidades de crédito, supuesto no idéntico pero con analogías, mantuvo que la competencia de armonización tributaria es del Estado y negó que la creación de un impuesto estatal debiera someterse al mecanismo de las leyes de armonización ex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nuevo impuesto temporal se hace que este complemente a aquel, sin sustituirlo. Prueba de ello es que el art. 3 impugnado no modifica ni la Ley 19/1991, de 6 de junio, del impuesto sobre el patrimonio, ni la Ley 22/2009, reguladora del sistema de financiación de las comunidades autónomas y de la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tampoco se vulnera el principio de lealtad institucional porque, por un lado, no se crean nuevas obligaciones de gasto; y, por otro, no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estimase que el impuesto sí tiene una eficacia retroactiva, invoca la doctrina de la STC 126/1987, de 16 de julio, FJ 9, que admite dicho efecto en función de la ponderación de intereses en cada caso. En concreto, cabe recordar su finalidad recaudatoria de exigir en tiempos de crisis energética y de inflación un mayor esfuerzo a quienes disponen de una mayor capacidad económica; y armonizadora de reducir las diferencias entre las comunidades autónomas en el gravamen del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último lugar, aborda la alegada vulneración de los principios de capacidad económica e igualdad tributaria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pone de manifiesto que lo único que argumenta la demanda es que se produce una doble imposición por el solapamiento del impuesto temporal de solidaridad de las grandes fortunas con el impuesto sobre el patrimonio. Sin embargo, el abogado del Estado reitera que en la liquidación del nuevo tributo se prevé deducir la cuota de lo satisfecho por el impuesto sobre el patrimonio, lo que se hace precisamente para evitar la doble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igualdad, el único argumento que emplea la Asamblea de Madrid es que existe una diferencia de trato según la regulación del impuesto sobre el patrimonio y su bonificación que establezcan las comunidades autónomas y, por tanto, se crea una diferencia de trato en función de la comunidad autónoma de residencia. Para el representante del Gobierno, el argumento es precisamente el contrario, la eventual diferencia de trato se articula por las comunidades autónomas en función de la regulación que ellas realicen de un impuesto cedido, en aplicación de su autonomía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finaliza solicitando que el Tribunal dicte sentencia por la que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12 de diciembre de 2023,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Asamblea de Madrid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detalladamente expuesto en los antecedentes, la demanda imputa al art. 3 de la Ley 38/2022 la vulneración de: (i) la libertad de configuración normativa del Parlamento autonómico (art. 152.1 CE), la autonomía financiera de la Comunidad de Madrid y la reserva de ley orgánica [arts. 156.1, 157.1 a) y 157.3 CE, en relación con los preceptos conexos del Estatuto de Autonomía de la Comunidad de Madrid y de la Ley Orgánica de financiación de las comunidades autónomas]; (ii) los arts. 23, 66.2 y 87 CE, en relación con los preceptos respectivos del Reglamento del Congreso de los Diputados; (iii) los principios de igualdad tributaria y de capacidad económica (art. 31.1 CE); y (iv)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ha formulado alegaciones únicamente respecto de los citados motivos (i) y (ii), descartando los vicios respectivos. Por su parte, el abogado del Estado niega todas las infracciones,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 de la Ley 38/2022 ha sido ya objeto de un pronunciamiento de este tribunal que, por la STC 149/2023, de 7 de noviembre, ha desestimado íntegramente el recurso de inconstitucionalidad núm. 616-2023, interpuesto contra dicho precepto por el Consejo de Gobierno de la Comunidad de Madrid. Todos los motivos de inconstitucionalidad que esgrime el recurso de la Asamblea de Madrid han sido ya enjuiciados en dicha sentencia, cuya doctrina, por tanto, es aplicable para resolver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dando por reproducida aquí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la Asamblea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alegada vulneración de la libertad de configuración normativa del Parlamento autonómico y de los arts. 156.1, 157.1 a) y 157.3 CE. Desestimación por remisión a la STC 149/2023,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letrados de la Asamblea de Madrid aducen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—incluida la Comunidad de Madrid—, lo que lesiona la libertad de configuración normativa del Parlamento autonómico, la autonomía financiera del art. 156.1 CE y la reserva de ley orgánica para la regulación del ejercicio de las competencias financieras de las comunidades autónomas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planteada por la Asamblea de Madrid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 Por consiguiente, la libertad de configuración normativa del Parlamento autonómico (art. 152.1 CE) queda incólume.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ex art. 133.1 CE y de la competencia exclusiva en materia de “hacienda general” ex art. 149.1.14 CE, establezca un nuevo tributo sobre el patrimonio que la comunidad autónoma ha dejado libre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 los arts. 23.2, 66.2 y 87 CE. Desestimación por remisión a la STC 149/2023,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Cámara autonómica denuncia que la disposición impugnada vulnera el ius in officium del art. 23.2 CE porque el objeto de deliberación de una iniciativa legislativa se alteró a través de una enmienda, que dio lugar al precepto impugnado, que no guardaba una mínima conexión de homogeneidad con la proposición de ley que había sido admitida a trámite. En conexión con esto, alega que se vulneraron también los arts. 66.2 y 87 CE (potestad e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las razones expuestas en la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estatal sobre depósitos en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dado que el derecho de enmienda se ha ejercido conforme a la legalidad parlamentaria, no se ha infringido el ius in officium del art. 23.2 CE. Por la misma razón, tampoco se han violado los arts. 66.2 y 87 CE, en relación con la potestad y la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 los principios de capacidad económica e igualdad tributaria del art. 31.1 CE. Desestimación por remisión a la STC 149/2023,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aduce que se vulneran los principios de capacidad económica e igualdad tributaria del art. 31.1 CE porque la cuota del impuesto temporal de solidaridad de las grandes fortunas se minora en función del importe efectivamente satisfecho por el impuesto sobre el patrimonio, por lo que el tributo impugnado tendrá una mayor repercusión en los sujetos pasivos que residan en las comunidades autónomas que hayan aprobado una bonificación en el impuesto sobre el patrimonio, como es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que dichos principios se hayan visto afectados. Respecto del de capacidad económica, alega que la deducción de lo satisfecho por el impuesto sobre el patrimonio se arbitra precisamente para evitar la doble imposición. En cuanto al principio de igualdad, la diferencia de trato entre comunidades autónomas como consecuencia de la distinta regulación del impuesto sobre el patrimonio justamente se armoniza mediante la aplicación del nuevo tributo.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STC 149/2023, FJ 4 C) b) ha concluido que el impuesto temporal de solidaridad de las grandes fortunas recae sobre un índice revelador de capacidad económica, como es la titularidad de un patrimonio neto de cuantía superior a tres millones de euros y que los tipos efectivos de gravamen no se pueden considerar desproporcionados. Por tanto, no vulnera el principio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igualdad, dicha sentencia, en su FJ 3 C), subraya que el impuesto sobre el patrimonio opera como una suerte de tributo “a cuenta” del impuesto temporal de solidaridad de las grandes fortunas, para cumplir con el fin armonizador que le atribuye el preámbulo de la Ley 38/2022. Por tanto, es consustancial al tributo impugnado que su cuantía varíe en función de cómo haya ejercido sus competencias normativas en el impuesto sobre el patrimonio la comunidad autónoma de residencia del sujeto pasivo. Si el principio de igualdad tributaria no se quebranta por el hecho de que el nivel de gravamen del impuesto sobre el patrimonio sea distinto entre comunidades autónomas (consecuencia inherente al principio de autonomía financiera), con menor razón se podrá entender vulnerado cuando el Estado, en el ejercicio de sus competencias, establece un impuesto complementario, precisamente con el objetivo —en palabras del preámbulo— de “disminuir las diferencias en el gravamen del patrimonio en las distintas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alegada vulneración del art. 9.3 CE. Desestimación por remisión a la STC 149/2023,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Finalmente, los letrados de la Asamblea atribuyen al impuesto temporal de solidaridad de las grandes fortunas la infracción del principio de seguridad jurídica del art. 9.3 CE, por tener efectos retroactivos. Alegan que los destinatarios del nuevo tributo no pudieron prever su establecimiento y quedaron sin posibilidades de reacción frente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se desestima con base en lo razonado en la STC 149/2023, FJ 5. En ella constatamos que el hecho imponible del impuesto temporal de solidaridad de las grandes fortunas no se va generando a lo largo de un período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que se creara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la Asamblea de Madrid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diciembre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1922-2023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diciembre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