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4403-2022, promovido por don Harmesk Kumar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junio de 2022 la procuradora de los tribunales doña Ruth María Oterino Sánchez, en nombre y representación de don Harmesk Kumar y bajo la dirección del letrado don Víctor Blázquez García de la Serna, formuló demanda de amparo contra la providencia de 15 de junio de 2022, dictada por la Sala de lo Contencioso-Administrativo del Tribunal Supremo en recurso de casación núm. 976-2022 contra la sentencia dictada por la Sección Cuarta de la Sala de lo Contencioso-Administrativo del Tribunal Superior de Justicia de Valencia en recurso de apelación núm. 395-2020.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4403-2022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