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3423-2023, promovido por doña Maite Solano Pitillas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mayo de 2023, la procuradora de los tribunales doña Ana María Araúz de Robles Villalón, en nombre y representación de doña Maite Solano Pitillas y otros y bajo la dirección del letrado don Francisco Javier Araúz de Robles Dávila, formuló demanda de amparo contra la providencia de 1 de diciembre de 2022, dictada por la Sala de lo Contencioso-Administrativo del Tribunal Supremo en recurso de casación núm. 5446-2022 contra la sentencia dictada por la Sala de lo Contencioso-Administrativo del Tribunal Superior de Justicia de Navarra en apelación núm. 514-2021.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3423-2023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