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6860-2022, promovido por la entidad Mantenimiento y Montajes Industriales S.A.,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octubre de 2022, el procurador de los tribunales don Federico Pinilla Romeo, en nombre y representación de la entidad Mantenimiento y Montajes Industriales S.A., y bajo la dirección del letrado don Nicolás González-Deleito Domínguez, formuló demanda de amparo contra la providencia de la Sala de lo Contencioso-Administrativo del Tribunal Supremo, en el recurso de casación núm. 4475-2021.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6860-2022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