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654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7172-2022, promovido por Acción Comercial Outsourcing, S.L.,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noviembre de 2022, el procurador de los tribunales don Ramiro Reynolds Martínez, en nombre y representación de Acción Comercial Outsourcing, S.L., y bajo la dirección del letrado don Marco Antonio Rodrigo Ruiz, interpuso demanda de amparo contra providencias de la Sala de lo Contencioso-Administrativo del Tribunal Supremo en recurso de casación 8593-2021.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12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7172-2022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