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3380-2022, promovido por la entidad Clavealbir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2022, el procurador de los tribunales don José Manuel Saura Estruch, en nombre y representación de la entidad Clavealbir S.L., y bajo la dirección de la letrada doña Berenice María Laporta Sáez, formuló demanda de amparo contra la providencia de la Sección Primera de la Sala de lo Contencioso-Administrativo del Tribunal Supremo, en el recurso de casación núm. 8798-2021.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3380-2022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