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28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2061-2022 interpuesto por más de cincuenta diputados del Grupo Parlamentario Popular en el Congreso de los Diputados contra la disposición adicional quinta de la Ley 19/2021, de 20 de diciembre, por la que se establece el ingreso mínimo vital, en la redacción dada por la disposición final trigésima de la Ley 22/2021, de 28 de diciembre, de presupuestos generales del Estado para el año 2022. Han comparecido el Congreso de los Diputados, el Senado, el Gobierno de la Nación, la Comunidad Autónoma del País Vasco y la Comunidad Foral de Navarra. Han formulado alegaciones los tres últimos.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un escrito registrado en el Tribunal el 24 de marzo de 2022 más de cincuenta diputados del Grupo Parlamentario Popular en el Congreso de los Diputados promovieron un recurso de inconstitucionalidad contra la disposición adicional quinta de la Ley 19/2021, de 20 de diciembre, por la que se establece el ingreso mínimo vital, en la redacción dada por la disposición final trigésima de la Ley 22/2021, de 28 de diciembre, de presupuestos generales del Estado para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quinta. Aplicación en los territorios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la especificidad que supone la existencia de haciendas forales, en relación con esta prestación, las comunidades autónomas de régimen foral asumirán, con referencia a su ámbito territorial, las funciones y servicios correspondientes que en esta ley se atribuyen al Instituto Nacional de la Seguridad Social así como, en atención al sistema de financiación de dichas haciendas forales, el pago, en relación con la prestación económica no contributiva de la Seguridad Social del ingreso mínimo vital, en los términos que se acuerde.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tanto no se produzca la asunción de las funciones y servicios a que hace referencia el párrafo anterior, se acordará mediante convenio a suscribir entre los órganos competentes del Estado y de la comunidad autónoma interesada, una encomienda de gestión para realizar las actuaciones que se prevean en el mismo en relación con la prestación económica del ingreso mínimo vital y que permitan la atención integral de sus beneficiarios en el País Vasco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escrito de demanda considera que la disposición impugnada infringe los arts. 149.1.17, 41, 14, 149.1.1 y la disposición adicional primera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ingreso mínimo vital no es una prestación de asistencia social sino que forma parte de la acción protectora del sistema de la Seguridad Social, como prestación económica en su modalidad no contributiva, configurado como un derecho subjetivo de ámbito nacional para eliminar las desigualdades territoriales en cumplimiento del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prestación pretende corregir la diversidad territorial de prestaciones de garantía de ingresos, advertida por numerosos informes de organismos nacionales y europeos, no solo en cuanto a la regulación material sustantiva, sino también en cuanto a las fórmulas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del ingreso mínimo vital como prestación no contributiva de Seguridad Social supone que su encuadramiento competencial no es el de la asistencia social (art. 148.1.20 CE) sino el de Seguridad Social (art. 149.1.17 CE), que atribuye al Estado la competencia exclusiva sobre “legislación básica y régimen económico de la Seguridad Social”, en relación con los respectivos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158/2021, de 16 septiembre, recoge y confirma toda la doctrina constitucional sobre el art. 149.1.17 CE, aplicándola de manera concreta a la controversia competencial suscitada respecto a la gestión del ingreso mínimo vital. De acuerdo con dicha doctrina, corresponde al Estado el establecimiento de un “régimen público” de Seguridad Social unitario y estable en todo el territorio nacional que garantice la igualdad de todos los españoles en sus derechos y obligaciones en materia de Seguridad Social, con independencia del territorio donde residan, y la preservación de la solidaridad financiera y caja única de titularidad estatal para impedir la existencia de diversas políticas territoriales de Seguridad Social en cada una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 impugnada infringe el art. 149.1.17 CE en relación con la competencia exclusiva estatal sobre la “legislación básica” de Seguridad Social. Dicha competencia no solo incluye la fijación de los requisitos, alcance y régimen jurídico de las prestaciones, sino también su modelo de gestión, para evitar que las distintas regulaciones o modelos de gestión establecidos por cada una de las comunidades autónomas generen desigualdades.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no solo está facultado sino también obligado a ejercer dicha competencia con un sentido y contenido que se correspondan con la finalidad para la que se le atribuye, es decir, una gestión única que garantice la igualdad en todo el territorio nacional. Es decir, respecto al modelo de gestión de una prestación, que obedece a la necesidad de articularla de manera única y uniforme en todo el territorio nacional, el Estado no podría ampararse en su competencia sobre legislación básica, para articular un modelo completamente contrario, que distinguiera entre varios modelos de gestión, diferenciando a dos comunidades autónomas respecto al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Estado no solo puede sino que debe ejercer las competencias exclusivas atribuidas por el art. 149.1.17 CE, sin admitirse su renuncia, directa o indirecta, en favor de ninguna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a la competencia para regular la “legislación básica”, el art. 149.1.17 CE atribuye al Estado la competencia exclusiva sobre “régimen económico de la Seguridad Social”. La STC 124/1989, de 7 de julio, confirmó la necesidad de que la Tesorería General de la Seguridad Social (TGSS) sea el instrumento idóneo para salvaguardar y hacer efectivos “los principios de solidaridad financiera y de unidad de caja” (FJ 3), que se garantizan mediante la titularidad de la caja única por parte del Estado (art. 21 del texto refundido de la Ley general de la Seguridad Social y art. 1.1 del Real Decreto 1314/1984, de 20 de junio, por el que se regula la estructura y competencias de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ingreso mínimo vital se financia mediante aportaciones tributarias que integran el patrimonio y la caja única de la Seguridad Social, titularidad de la TGSS. En cuanto la gestión de esta prestación incluye actuaciones susceptibles de generar obligaciones a cargo de la caja única, su gestión forma parte del “régimen económico” de la Seguridad Social, correspondiendo al Estado las competencias normativas como las de ejecución, en garantía de un sistema materialmente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la gestión del ingreso mínimo vital, prestación no contributiva de Seguridad Social, en cuanto supone el ejercicio de una competencia susceptible de generar obligaciones a cargo de la caja única, integra plenamente el régimen económico de la Seguridad Social, por lo que debe atribuirse de manera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supone desconocer las competencias de las comunidades autónomas, pues como dijo la STC 124/1989, FJ 3, estas podrán asumir aspectos instrumentales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competencias autonómicas “quedarían limitadas a aquellos aspectos instrumentales que no guarden relación con el régimen económico de la Seguridad Social” (STC 158/2021, FJ 5) y para las que la ley ya prevé fórmulas y convenios de colaboración. En relación con las comunidades autónomas de régimen foral, la propia ley contempla, además, que las haciendas forales desempeñen, en sus respectivos territorios forales de Navarra y de los territorios históricos del País Vasco, las funciones que en el resto del Estado se atribuyen a la Agencia Estatal de Administración Tributaria. Esta particularidad en la gestión del ingreso mínimo vital se entiende en el marco de la colaboración de las administraciones tributarias, estatal o forales, con el Instituto Nacional de la Seguridad Social (INSS), pero no justifica ninguna transferencia de esas funciones sino, todo lo contrario, evidencia que esa especificidad que supone la existencia de haciendas forales a la que alude la disposición adicional quinta, se atiende suficientemente sin necesidad de aquella transferencia.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si el Tribunal Constitucional ha considerado que la gestión del ingreso mínimo vital implica potestades ejecutivas que afectan al régimen económico del sistema, debiendo atribuirse al Estado (a través del INSS) todos los aspectos relativos al reconocimiento de la prestación, sin que ello suponga la vulneración del Estatuto de Autonomía de Cataluña (STC 158/2021), igual conclusión debe alcanzarse respecto a las comunidades autónomas de régimen foral, cuyos preceptos estatutarios coinciden literalmente con 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adicional quinta de la Ley 19/2021 también vulnera el art. 149.1.17 CE, en la medida en que justifica la trasferencia de la gestión del ingreso mínimo vital por la especificidad que supone la existencia de haciendas forales en País Vasco y Navarra, especificidad que deriva de los derechos históricos contemplados en la disposición adicional primera CE. Pero esta disposición no constituye un título competencial adecuado para ninguna transferencia en materia de Seguridad Social, por cuanto las especialidades fiscales o tributarias resultan completamente ajenas a la configuración constitucional del sistema de Seguridad Social y a su delimitación competencial, sin que puedan alterar el alcance y contenido de las competencias exclusivas del Estado reconocidas por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foral se caracteriza porque los territorios históricos del País Vasco y la Comunidad Foral de Navarra tienen potestad para mantener, establecer y regular su régimen tributario, con competencias sobre la exacción, gestión, liquidación, recaudación e inspección de la mayoría de los impuestos, mientras que, por su parte, dichas comunidades autónomas contribuyen a la financiación de las cargas generales del Estado no asumidas, a través de una cantidad denominada “cupo” o “aportación”.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aquí llegan las especialidades de las haciendas forales, sin que quepa su extensión o proyección a otros ámbitos. En particular, tampoco constituye justificación suficiente y proporcionada, en relación con la situación de necesidad que se trata de atender, para articular una gestión diferenciada del ingreso mínimo vital. Aunque la STC 90/1989, de 11 de mayo, justificó una diferencia territorial en materia de Seguridad Social cuando haya una situación de necesidad que afecte de manera especial a los residentes en un territorio, dicha situación excepcional no concurre en el caso de los residentes en el País Vasco y Navarra. En realidad, la especificidad de las haciendas forales en relación con la gestión del ingreso mínimo vital ya se ha previsto por el propio legislador en la Ley 19/2021, mediante la atribución de las funciones que las haciendas forales ejercen en sus respectivos territorios en sustitución de la Agencia Estatal de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los diputados recurrentes sostienen que la disposición impugnada es contraria a los arts. 14 y 149.1.1 CE, en relación con el principio de igualdad y el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14 CE, los españoles son iguales ante la ley, sin que pueda prevalecer discriminación alguna por razón de nacimiento, raza, sexo, religión, opinión o cualquier otra condición o circunstancia personal o social, mientras que, según el art. 149.1.1 CE, el Estado tiene competencia exclusiva sobre la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41 CE establece la obligación de mantener un régimen público de Seguridad Social para todos los ciudadanos, que garantice la asistencia y prestaciones sociales suficientes ante situaciones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158/2021 recuerda que la gestión del ingreso mínimo vital por el INSS viene a garantizar que el acceso a la prestación y su disfrute por parte de los ciudadanos se produzcan de forma igualitaria y homogénea en todo el territorio nacional. Cualquier fórmula de gestión diferenciada, de acuerdo con la doctrina constitucional, debería justificarse por razones excepcionales debidamente justificadas y vinculadas a la situación de necesidad que se trata de proteger, lo que no concurre en las comunidades autónomas forales, cuyos residentes (potenciales beneficiarios) no sufren una situación de necesidad que haya de atenderse de manera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Configurado el ingreso mínimo vital como un derecho subjetivo, su titularidad no corresponde a los territorios sino a los ciudadanos y cualquier legislador, autonómico o estatal, debe abstenerse de introducir cualquier diversidad regulatoria, sustantiva o de gestión, susceptible de generar desigualdad. La territorialización de la gestión de la Seguridad Social puede generar diferencias arbitrarias en relación con los beneficiarios dependiendo de la comunidad autónoma en la que residan. Al desprenderse el legislador estatal de las competencias gestoras que tiene atribuidas en exclusiva, se conculca el principio de igualdad recogido en los preceptos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reiterando que debe declararse la inconstitucionalidad y nulidad de la disposición adicional quinta de la Ley 19/2021, por infringir los arts. 149.1.17, 41, 14, 149.1.1 y la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a propuesta de la Sección Cuarta, acordó, por providencia de 7 de abril de 2022, admitir a trámite el recurso de inconstitucionalidad. Asimismo, acordó dar traslado de la demanda y de los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estimaran conveniente. Por último,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28 de abril de 2022, la presidenta del Congreso de los Diputados comunicó que la mesa había acordado dar por personada a esta Cámara y ofrecer su colaboración a los efectos de lo previsto en el art. 88.1 LOTC. Asimismo, en dicha fecha tuvo entrada en el registro del Tribunal un escrito del presidente del Senado con análoga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mayo de 2022 el letrado de los servicios jurídicos centrales del Gobierno Vasco compareció ante el Tribunal y solicitó que se admitiera la personación de la Comunidad Autónoma del País Vasco como coadyuvante, en orden a la defensa de la constitucionalidad de las disposiciones impugnadas, se le diera traslado del escrito de interposición del recurso y se le otorgara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registrado en el Tribunal el 6 de mayo de 2022, se personó en nombre del Gobierno de la Nación y solicitó que, habida cuenta de la cantidad de asuntos pendientes ante esa Abogacía, se le concediera una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10 de mayo de 2022 se tuvo por personado al abogado del Estado y se le prorrogó en ocho días el plazo concedido para formular alegaciones. Respecto del escrito presentado por el letrado del Gobierno Vasco solicitando que se le admitiera su personación en calidad de coadyuvante, se acordó dar traslado a la parte recurrente y al abogado del Estado para que, en el plazo de diez días, alegaran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asesor jurídico-letrado de la Comunidad Foral de Navarra, en representación del Gobierno de dicha comunidad solicitó, mediante escrito registrado el 19 de mayo de 2022, intervenir en este proceso constitucional de forma adhesiva, en calidad de coadyuvante, y que se le confiriera trámite para efectuar alegaciones. Por diligencia de ordenación del secretario de justicia del Pleno se dio traslado del referido escrito a la parte recurrente y al abogado del Estado para que en el plazo de diez días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23 de mayo de 2022 el abogado del Estado formuló alegaciones,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pone de manifiesto que en el recurso no se argumenta nada sobre la inconstitucionalidad del segundo párrafo de la disposición adicional quinta de la Ley 19/2021, por lo que, al no haber cumplido los recurrentes la carga de justificar su impugnación no procede que el Tribunal lo examine. En consecuencia, las alegaciones que efectúa se ciñen al párrafo primero de la disposición adicional quinta en la redacción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considera que la norma impugnada no conlleva una extensión del ámbito competencial de las comunidades del País Vasco y de Navarra al amparo de la disposición adicional primera CE. Entiende que, como ha afirmado la STC 158/2021, el ingreso mínimo vital es de competencia exclusiva del Estado. No obstante, considera que las especialidades de las haciendas forales justifican la previsión que contiene la disposición adicional recurrida. Según sostiene, el particular régimen tributario que tienen el País Vasco y Navarra, que conlleva que estas comunidades ostenten competencias parciales para la regulación y exacción de los tributos concertados o convenidos, un régimen de autofinanciación de los gastos que se deriven del ejercicio de sus competencias y un sistema de cupo o aportación con el que las referidas comunidades deben contribuir a los gastos del Estado, lleva a que la disposición impugnada habilite para que, en virtud del principio de colaboración, la administración del Estado y las comunidades autónomas forales puedan concluir un acuerdo para la más eficaz aplicación del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cita otros supuestos de colaboración entre administraciones públicas que prevé la Ley 19/2021. Se refiere, en concreto, a los supuestos regulados en los arts. 25.2, 32 y en la disposición adicional cuarta, en los que se prevé la posibilidad de que las comunidades autónomas y entidades locales puedan suscribir convenios con fórmulas para la gestión del ingreso mínimo vital. Por otra parte, recuerda que la STC 158/2021 hizo una llamada expresa a la colaboración entre administraciones públicas en la gestión de esta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la disposición adicional quinta no habilita una transferencia de competencias del INSS sobre el ingreso mínimo vital, sino un modo de colaboración entre administraciones basado en sus características específicas —un sistema propio de gestión tributaria y de autofinanciación— que no son extrapolables a otras comunidades autónomas. En su opinión, este mecanismo de colaboración es conforme con la doctrina de la STC 158/2021.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representante del Gobierno de la Nación aduce que las comunidades forales actúan como mandatarias del pago, con estricto cumplimiento de los criterios fijados por la ley que regula el ingreso mínimo vital, por lo que la atribución de estas facultades no conlleva una ruptura del régimen de caja única de la Seguridad Social, ya que los requisitos para la obtención del ingreso mínimo vital en los territorios forales son los mismos que en el resto. Esta disposición —a su juicio— solo prevé, con los condicionamientos establecidos por el Estado, un régimen de mandato de pago material que ejecutan las comunidades forales, sin perjuicio de que los correspondientes flujos financieros se articulen a través de su específico régimen financiero. Subraya, además, que la atribución de las facultades de tramitación del ingreso mínimo vital al País Vasco y Navarra no les otorga ningún margen de discrecionalidad para valorar si procede o no reconocer la prestación, por lo que el ejercicio de las referidas facultades no afecta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llevan al abogado del Estado a solicitar que se inadmita el recurso respecto del segundo párrafo de la disposición adicional quinta de la Ley 19/2021 y se desestime 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sendos escritos registrados en el Tribunal el 25 y 31 de mayo de 2022 el abogado del Estado manifestó que no se oponía a la solicitud de personación en este proceso formulada por los gobiernos vasco y navarro.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30 de junio de 2022 el Pleno acordó a acceder a lo solicitado por los gobiernos vasco y navarro y, en consecuencia, tenerlos por comparecidos en el recurso de inconstitucionalidad en calidad de coadyuvantes del Gobierno de España, dándoles traslado del recurso de inconstitucionalidad y de los documentos presentados a fin de que en el plazo de quince días pudieran formular las alegaciones que considerasen necesarias en defensa de la constitucionalidad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representante del Gobierno Vasco presentó su escrito de alegaciones el 21 de julio de 2022,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Coincide con los diputados recurrentes en que la cuestión planteada en este recurso es estrictamente competencial. Subraya que la demanda no se posiciona claramente sobre si el título competencial en juego es el de “legislación básica” o el de “régimen económico” de Seguridad Social. Entiende que la cuestión que ha de examinar el Tribunal es si la regulación que establece el precepto impugnado de la Ley que establece el ingreso mínimo vital supone una vulneración de la caja única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esta parte, las determinaciones contenidas en la disposición impugnada no presentan tachas de inconstitucionalidad. Alega que las Cortes Generales, en el marco de la Constitución, pueden configurar el modelo de protección social que mejor se adapte a cada momento y establecer las formas de gestión de este modelo que consideren procedente. Asimismo, pone de relieve que el ingreso mínimo vital constituye una nueva prestación económica no contributiva de la Seguridad Social. La disposición impugnada respeta el orden constitucional de competencias al atribuir a la Comunidad Autónoma del País Vasco y a la Comunidad Foral de Navarra las funciones y servicios que la ley asigna organizativamente al INSS, así como las correspondientes al pago de esta prestación, en los términos que se acuerden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considera que los títulos competenciales implicados en el conflicto competencial que se suscita en este recurso son los previstos en el art. 149.1.17 y en la disposición adicional primera CE y, para el caso de la Comunidad Autónoma del País Vasco, en el art. 18 y la disposición transitoria quinta Estatuto de Autonomía para el País Vasco (EAPV). Esta es la conclusión a la que llegó la STC 158/2021, FFJJ 3 y 4, al afirmar que la prestación no contributiva del ingreso mínimo vital tiene encaje en el art. 149.1.17 CE en el que se establece la competencia exclusiva del Estado en “[l]egislación básica y régimen económico de la Seguridad Social, sin perjuicio de la ejecución de sus servicios por las comunidades autónomas”. En las citadas normas estatutarias se establece la competencia del País Vasco en materia de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además, que la disposición impugnada encuentra uno de sus fundamentos constitucionales en la singularidad que supone la existencia de las haciendas forales, así como en su sistema de financiación, lo que, según se afirma, supone una llamada al sistema de concierto económico anclado en la disposición adicional primera CE. Por ello, el Gobierno Vasco entiende que la Ley 19/2021 no ha hecho más que, atendiendo al mandato constitucional, preservar la singularidad del régimen foral en unos términos compatibles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Gobierno autonómico sostiene, en contra de lo que afirman los recurrentes, que no es aplicable el título contenido en el art. 149.1.1 CE, dado que al Estado le corresponde la competencia en materia de legislación básica de la Seguridad Social en virtud del art. 149.1.17 CE. Invoca la doctrina establecida en la STC 128/2016, de 7 de julio, FJ 9, en la que el Tribunal afirmó que la igualdad a preservar ex art. 149.1.1 CE queda subsumida en las competencias básicas que el art. 149.1 CE atribuye al Estado que, en el caso enjuiciado, son las del apartado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Vasco señala que, como ha sostenido reiteradamente el Tribunal (cita la STC 195/1996, FJ 6), el art. 149.1.17 CE, contiene dos submaterias distintas: la Seguridad Social y su régimen económico. Indica que la STC 158/2021 no define claramente en cuál de estas dos materias tiene su encaje la prestación del ingreso mínimo vital pero, en cualquiera de los dos casos, la Comunidad Autónoma del País Vasco tiene reconocidas competencias ejecutivas bastantes para llevar a cabo las funciones y servicios de gestión y pago del ingreso mínimo vital, en los términos que se concierten con el Estado tal y como dispone la disposición controvertida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descarta que atente al reparto constitucional de competencias el que esa comunidad autónoma ejerza las funciones ejecutivas de las prestaciones en los términos expuestos en la disposición adicional quinta de la Ley 19/2021, pues el libramiento del pago a los beneficiarios definidos en la normativa estatal es una función ejecutiva que no es necesaria “para configurar un sistema materialmente unitario” (cita las SSTC 133/2019 y 158/2021). Entiende, por otra parte, que la Ley 19/2021 ha establecido el régimen jurídico del ingreso mínimo vital para todo el territorio nacional, sin posibilidad de desarrollo normativo por las comunidades autónomas y también ha fijado el modelo de gestión que, en el caso del País Vasco y Navarra, conlleva que estas comunidades realicen las funciones y servicios de gestión y pago, previo acuerdo con el Estado. El ejercicio de estas competencias por las comunidades autónomas forales no puede comprometer la unidad del sistema de Seguridad Social ni perturbar su funcionamiento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gobierno autonómico pone de manifiesto que el ingreso mínimo vital es una nueva prestación económica no contributiva en el marco de un sistema dirigido hacia una progresiva acción protectora a la Seguridad Social. Esta evolución conlleva una participación más activa de las comunidades autónomas para la gestión de estas prestaciones no contributivas (“modelo de gobernanza compartida”). En contra de lo que sostienen los recurrentes, este sistema ni quiebra la unidad del régimen económico de la Seguridad Social ni es la primera vez que las comunidades autónomas gestionan y pagan prestaciones no contributivas de la Seguridad Social. El Gobierno vasco aduce que el mero libramiento del pago por la Comunidad Autónoma del País Vasco no supone la quiebra de la unidad del régimen económico ni de la unidad de caja, máxime cuando el Estado dispone de variadas herramientas (normativas y coordinadoras) para reconducir cualquier uso torticero que pudiera hacerse.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es un hecho incontestable que la Comunidad Autónoma del País Vasco ya gestiona y paga las pensiones no contributivas por jubilación e invalidez que la Ley 26/1990 reconoció como prestaciones de la Seguridad Social y es evidente que ello no ha ocasionado quiebra alguna de la unidad de caja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Gobierno Vasco expone cómo ha ido cambiando el marco de protección social que garantiza el art. 41 CE, destacando la evolución de la Seguridad Social “interna”, a la que se han incorporado las prestaciones no contributivas (STC 158/2021). También alude a los hitos históricos en la materia del art. 149.1.17 CE, exponiendo las sentencias recaídas sobre ella. Asimismo, alude al régimen de financiación y de gestión específico para las prestaciones no contributivas, diferenciándolo del contributivo, y hace un excurso sobre la evolución de otras acciones protectoras del Estado inicialmente integradas en la Seguridad Social y financiadas por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sostiene, asimismo, que el art. 41 CE no prejuzga ningún modelo de la Seguridad Social. Es el legislador estatal, al regular las “bases del sistema” y su “régimen económico” quien debe configurar en cada momento la dimensión y contenido concreto que se haya querido dar a la llamada acción protectora pública de la Seguridad Social. Señala que el art. 41 CE concibe el sistema de Seguridad Social como una “función del Estado” de protección a los ciudadanos ante situaciones de necesidad. Salvada esta limitación, los derechos que los ciudadanos pueden tener en materia de Seguridad Social son de estricta configuración legal, disponiendo el legislador de un amplio margen de configuración, por ejemplo, para establecer una gestión descentralizada de esta prestación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otro lado, el Gobierno Vasco aduce que los recurrentes no han argumentado por qué consideran que la norma impugnada conlleva el quebranto del sistema constitucional de la Seguridad Social. Se indica que en el momento de la aprobación del ingreso mínimo vital el País Vasco ya tenía una experiencia acumulada de trece años distribuyendo los fondos de una ayuda social (renta de garantía de ingresos) configurada de modo muy parecido al ingreso mínimo vital. Asimismo, reitera que el País Vasco lleva gestionando y pagando desde hace décadas las prestaciones no contributivas de jubilación e invalidez y financiándolas conforme al sistema del concierto económico. Aduce que la caja única de la Seguridad Social no se puede identificar como una incompatibilidad con la utilización de formas descentralizadas pues la centralización única no existe, ni siquiera en el seno de la Seguridad Social, ya que buena parte de su gestión se efectúa por entes colaboradores. Afirma que la decisión del legislador de crear una nueva prestación no contributiva y atribuirla a la Comunidad Autónoma del País Vasco, por sus especificidades forales, supone una continuidad del modelo definido en relación con las prestaciones no contributivas.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las SSTC 128/2016, FJ 9; 133/2019, FJ 5, y 158/2021, FJ 5, según las cuales las comunidades autónomas pueden gestionar íntegramente las prestaciones no contributivas si no se comprometen los principios constitucionales de la institución de la Seguridad Social y se suscribe un convenio, en el caso vasco previsto en la disposición transitoria quinta EAPV, en el que se coordinen la ejecución de estos servicios y funciones ejecutivas a desarrollar. Por tanto, la asunción de estas funciones y servicios no tienen lugar ope legis, sino que exige, de acuerdo con la doctrina establecida en la STC 158/2021, FJ 5, un convenio previo en el que se disponga “los términos [en los] que se acuerde” el traspaso.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del Gobierno Vasco termina recalcando que la norma impugnada no cuestiona la titularidad estatal de todos los recursos de la Seguridad Social y se limita a establecer un sistema organizativo que no engendra desigualdades entre los ciudadanos en lo que atañe a la satisfacción de sus derechos y al cumplimiento de sus obligaciones de Seguridad Social, pues las funciones asumidas por la comunidad autónoma, previo convenio (cita la STC 158/2021, FJ 5), son estrictamente de gestión, correspondiendo al Estado la competencia normativa y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rechaza la alegación de los recurrentes por la que la disposición impugnada, al prever un diferente régimen ejecutivo para las comunidades autónomas vasca y navarra vulnere la igualdad. Con cita de la STC 37/1987, alega que “el principio constitucional de igualdad no impone que todas las comunidades autónomas ostenten las mismas competencias”. Las diferencias que puedan existir entre las comunidades autónomas por la atribución de una tarea concreta de gestión no pueden vulnerar la igualdad de derechos y obligaciones de los beneficiarios del ingreso mínimo vital. Además, la norma impugnada no transfiere una competencia inaccesible para otras comunidades autónomas, sino que solo hay una diferente intensidad en el ejercicio de la competencia de ejecución que se justifica en las singularidades constitucionales que las comunidades de régimen foral tienen en materia hacendística.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el Tribunal el 29 de agosto de 2022 formuló sus alegaciones la Comunidad Foral de Navarra. Tras señalar que el título competencial específico en el que ha de encuadrarse la disposición impugnada es el previsto en el art. 149.1.17 CE, que atribuye a las comunidades autónomas competencias ejecutivas en materia de Seguridad Social, alega que la medida no compromete la unidad del sistema ni su funcionamiento económico uniforme, ya que la titularidad de los recursos en esta materia es estatal y no permite a la Comunidad Foral el desarrollo de ninguna política propia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navarro considera que, de acuerdo con la doctrina constitucional, la delimitación precisa por el legislador del Estado del régimen de una prestación permite la descentralización de las funciones de reconocimiento, concesión y pago, al tratarse de “una actividad ejecutiva reglada en alto grado” (cita las SSTC 40/2019, de 27 de marzo, FJ 4; 100/2017, de 20 de julio, y 153/2019, de 25 de noviembre). Aduce, asimismo, que el hecho de que el abono material se lleve a cabo por la Comunidad Foral no afecta a los aspectos sustanciales que el Tribunal Constitucional ha considerado garantes de la unidad del régimen económico de la Seguridad Social pues, al tratarse de una prestación no contributiva, la mera actuación de abono no compromete la unidad del sistema, no perturba el funcionamiento económico uniforme ni la igualdad, ni tampoco pone en cuestión la titularidad estatal de los recursos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Foral pone de manifiesto, por otra parte, que el art. 54 de la Ley Orgánica de reintegración y amejoramiento del régimen foral de Navarra confiere de forma expresa a la Comunidad Foral la gestión del régimen económico de la Seguridad Social y que, por acuerdo de la junta de transferencias de 31 de marzo de 2022, Navarra ha asumido la gestión del ingreso mínimo vital en términos respetuosos con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alude a que las comunidades autónomas ya gestionan las prestaciones no contributivas de jubilación e invalidez. Señala que la disposición adicional cuarta de la Ley 26/1990 establecía que dichas prestaciones no contributivas serían gestionadas por el Instituto Nacional de Servicios Sociales o, en su caso, por las comunidades autónomas estatutariamente competentes a las que se hubieran transferidos los servicios del referido organismo, autorizando, además, al Gobierno para que pudiera establecer con las comunidades autónomas los oportunos conciertos con el fin de que las pensiones no contributivas de la Seguridad Social pudiesen ser gestionadas por aquellas, que es el modelo que reproduce la disposición recurrida. Se indica que Navarra viene desempeñando, sin cuestionamiento alguno, las labores de reconocimiento y pago de las prestaciones no contributiva de jubilación y de invalidez con un sistema de financiación similar al que se ha establecido respecto del ingreso mínimo vital, a través del convenio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parte procesal justifica la atribución a las comunidades autónomas forales de las tareas ejecutivas previstas en la norma impugnada en las peculiaridades de su sistema de financiación, pues la compensación del coste se hará cuando haya de calcularse la aportación al Estado, con el correspondiente descuento. Así se deduce del acuerdo de la junta de transferencias administración del Estado- Comunidad Foral de Navarra de 31 de marzo de 2022 por el que Navarra asumió la gestión y el pago del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Foral de Navarra finaliza sus alegaciones concluyendo que la norma que se impugna respeta la Constitución. Fundamenta esto en que la prestación la regula íntegramente el legislador estatal, siendo las tareas asumidas de mera ejecución, que no comprometen la unidad del sistema, ni su funcionamiento económico uniforme, ni la igualdad de los españoles, ni la titularidad de los recursos de la Seguridad Social. Al igual que el País Vasco, Navarra descontará de las aportaciones que realiza al Estado el importe correspondiente al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expuestas llevan al letrado autonómico a solicitar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ATC 14/2024, de 13 de febrero, el Pleno aceptó la solicitud de abstención formulada por el magistrado don Juan Carlos Campo Moreno, al amparo de lo previsto en los arts. 217 y 221 de la Ley Orgánica del Poder Judicial, por haber participado, en su anterior condición de ministro de Justicia, en el Consejo de Ministros en el que se aprobó el Real Decreto-ley 20/2020, de 29 de mayo, que después fue tramitado por las Cortes como proyecto de ley que dio lugar a la Ley 19/2021, de 20 de diciembre, por la que se establece 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27 de febrero de 2024,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de cincuenta diputados del Grupo Parlamentario Popular en el Congreso de los Diputados promueven un recurso de inconstitucionalidad contra la disposición adicional quinta de la Ley 19/2021, de 20 de diciembre, por la que se establece el ingreso mínimo vital, en la redacción dada por la disposición final trigésima de la Ley 22/2021, de 28 de diciembre, de presupuestos generales del Estado para el año 2022, precepto que ha quedado reproducido en el antecedente primero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consideran que la disposición impugnada, al otorgar a la Comunidad Autónoma del País Vasco y a la Comunidad Foral de Navarra competencias en relación con el ingreso mínimo vital vulnera las competencias exclusivas que corresponden al Estado conforme al art. 149.1.17 CE. Asimismo, alegan que se vulnera la disposición adicional primera CE, pues este precepto no contiene un título competencial adecuado para una transferencia en materia de Seguridad Social. Por último, denuncian la vulneración de los arts. 14, 41 y 149.1.1 CE, en relación con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solo debe analizarse el párrafo primero de la disposición adicional quinta de la Ley 19/2021, pues sobre el segundo los recurrentes no han satisfecho la carga de argumentar la contradicción con la Constitución. En cuanto al fondo, solicita que se desestime la impugnación porque la atribución de facultades de gestión a las comunidades forales no conlleva una ruptura del régimen de caja única de la Seguridad Social ni de su modelo unitario. La disposición impugnada solo prevé, con los condicionamientos establecidos por el Estado, un mandato de pago material que ejecutan las comunidades forales, sin perjuicio de que los correspondientes flujos financieros se articulen a través de su específico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solicitan la desestimación los letrados de la Comunidad Autónoma del País Vasco y de la Comunidad Foral de Navarra, que han comparecido como coadyuvantes del Gobierno. Con argumentos sustancialmente coincidentes entre sí, razonan que los respectivos estatutos asumen competencias en materia de “gestión del régimen económico de la Seguridad Social”, lo que es compatible con la unidad del sistema de Seguridad Social y con la titularidad estatal de sus recursos. Para garantizar esto, la disposición adicional quinta de la Ley 19/2021 remite a los términos que se acuerden con el Estado. Insisten en que dicho precepto establece el mismo procedimiento que se viene aplicando para la gestión de las pensiones no contributivas de jubilación e invalidez por las comunidades forales. Estas, en virtud de su específico sistema de financiación, asumen el pago de dichas pensiones, descontando del cupo o aportación el importe calculado conforme al régimen del concierto y convenio, y esto es justamente lo que ahora se establece para el ingreso mínimo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impugnada ha sido ya enjuiciada por este tribunal en la STC 19/2024, de 31 de enero, que ha desestimado íntegramente el recurso de inconstitucionalidad núm. 1937-2022 interpuesto contra ella por más de cincuenta diputados del Grupo Parlamentario Vox en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los motivos de inconstitucionalidad esgrimidos en ambos procesos sustancialmente coincidentes, procede resolver el presente recurso aplicando la doctrina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por remisión a la STC 19/2024, de 31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comenzar dando por reproducido el fundamento jurídico 3 de la STC 19/2024 sobre el encuadramiento material y la distribución competencial aplicable. En dicho fundamento jurídico hemos considerado, con base en la STC 158/2021, de 16 de septiembre, FJ 3, que los actos de gestión del ingreso mínimo vital se enmarcan en el “régimen económico” de la Seguridad Social. Y hemos concluido, de acuerdo con las SSTC 124/1989, de 7 de junio, FJ 3, y 133/2019, de 13 de noviembre, FJ 5, que las comunidades autónomas que asuman en sus estatutos la competencia de “gestión del régimen económico de la Seguridad Social”, como es el caso del País Vasco y la Comunidad Foral de Navarra, podrán realizar, previo convenio con el Estado, aquellos actos de gestión que no comprometan la caja única ni el modelo unitario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 conclusión anterior, hemos razonado que la previsión de que las comunidades autónomas de régimen foral asumirán “las funciones y servicios correspondientes que en esta ley se atribuyen al Instituto Nacional de la Seguridad Social” (primer inciso del párrafo primero de la disposición adicional quinta de la Ley 19/2021) no menoscaba la caja única, pues no afecta a las funciones de la Tesorería General de la Seguridad Social. Y tampoco afecta al modelo unitario porque no compromete la unidad del sistema; ni perturba su funcionamiento económico uniforme; ni cuestiona la titularidad estatal de todos los recursos de la Seguridad Social; ni engendra directa o indirectamente desigualdades entre los ciudadanos en lo que atañe a la satisfacción de sus derechos y al cumplimiento de sus obligaciones de Seguridad Social (STC 19/2024, FJ 4, con cita de la STC 124/1989,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mencionada STC 19/2024 hemos enjuiciado el segundo inciso del párrafo primero de la disposición impugnada, referido al pago de la prestación del ingreso mínimo vital por la Comunidad Autónoma del País Vasco y la Comunidad Foral de Navarra. Tras aclarar que la disposición adicional primera CE no reconoce ninguna especialidad respecto de “la gestión del régimen económico de la Seguridad Social”, puesto que esta competencia corresponde a todas las comunidades autónomas que, con la misma o análoga expresión, la hayan asumido en sus estatutos, hemos indicado que el régimen de financiación foral sí juega un papel diferencial en cuanto a la ejecución material del pago. Dicho régimen permite a las comunidades forales asumir el pago del ingreso mínimo vital y descontar del cupo y de la aportación la cantidad que corresponde conforme a las reglas del concierto y del convenio, tal y como se viene haciendo con las pensiones no contributivas de jubilación de invalidez de la Seguridad Social, desde su creación por la Ley 26/1990, de 20 de diciembre (STC 19/2024,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debemos llegar aquí, reiterando que ninguno de los incisos del precepto impugnado vulnera la distribución de competencias establecida en el art. 149.1.17 CE, ni la disposición adicional primera CE, alegada por los diputados recurrentes del Grupo Parlamentario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también nos lleva a desestimar la invocación del art. 149.1.1 CE que hacen los recurrentes, ya que “la igualdad a preservar ex artículo 149.1.1 CE queda, en casos como este, subsumida y garantizada mediante unas u otras de las competencias básicas que el propio artículo 149.1 atribuye al Estado, esto es, para el caso actual, a través de las competencias estatales sobre Seguridad Social que el Estado ostenta en virtud del apartado 17 de dicho precepto” (STC 128/2016, de 7 de julio,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debemos descartar la vulneración de los arts. 14 y 41 CE que plantea la demanda. Por una parte, ya se ha indicado que la previsión impugnada “no engendra directa o indirectamente desigualdades entre los ciudadanos en lo que atañe a la satisfacción de sus derechos y al cumplimiento de sus obligaciones de Seguridad Social”, por lo que no hay infracción del art. 14 CE. Por otra, tampoco se menoscaba el “régimen público de Seguridad Social para todos los ciudadanos”, garantizado por el art. 41 CE, toda vez que el modelo unitario de Seguridad Social no queda afectado por la norma recurrida (STC 19/2024,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relación con el párrafo segundo de la disposición adicional quinta de la Ley 19/2021, el abogado del Estado planteó un óbice procesal, al entender que los recurrentes no habían satisfecho la carga de argumentar su contradicción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párrafo prevé una encomienda de gestión a las comunidades forales, en tanto no se produzca la asunción de funciones y servicios a que se refiere el párrafo primero. Dada la naturaleza instrumental de dicha previsión respecto del núcleo central de la controversia competencial, la objeción del abogado del Estado no puede 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habiendo desestimado la impugnación contra el párrafo primero, procede la misma decisión respecto del párrafo segundo, pues la encomienda de gestión solo incluye actuaciones “de carácter material o técnico” (art. 11 de la Ley 40/2015, de 1 de octubre, de régimen jurídico del sector público), como fórmula provisional y transitoria mientras se suscribe el acuerdo de asunción de funciones y servicios previsto en el párrafo primero; lo que ya se ha hecho tanto con la Comunidad Autónoma del País Vasco como con la Comunidad Foral de Navarra [STC 19/2024,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razonado, el recurso se desestima íntegramente.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más de cincuenta diputados del Grupo Parlamentario Popular en el Congreso de los Diputados, contra la disposición adicional quinta de la Ley 19/2021, de 20 de diciembre, por la que se establece el ingreso mínimo vital, en la redacción dada por la disposición final trigésima de la Ley 22/2021, de 28 de diciembre, de presupuestos generales del Estado para el año 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