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6218-2023, promovido por don Fikri Boutajer, representado por la procuradora de los tribunales doña María del Prado Prieto Navarro, asistido del letrado don Youssef Bouzrouti El Haddouchi, contra el auto núm. 325/2023, de 27 de junio de la Sección Segunda de la Sala de lo Penal de la Audiencia Nacional y contra el auto núm. 62/2023, de 21 de julio del Pleno de la Sala de lo Penal de la Audiencia Nacional.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27 de septiembre de 2023, la representación procesal de don Fikri Boutajer interpuso recurso de amparo contra el auto núm. 325/2023, de 27 de junio, de la Sección Segunda de la Sala de lo Penal de la Audiencia Nacional, dictado en el rollo núm. 19-2023, dimanante del procedimiento de extradición pasiva núm. 30-2023 del Juzgado Central de Instrucción núm. 2, y contra el auto núm. 62/2023, de 21 de julio, del Pleno de la Sala de lo Penal de la Audiencia Nacional, dictado en el recurso de súplica núm. 60-2023,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del rey ante el Tribunal de Primera Instancia de Driuch (Marruecos) dictó el 12 de septiembre de 2022 orden internacional de búsqueda y captura contra el ahora demandante de amparo, al que atribuía su implicación en un delito de tráfico de drogas,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desprende globalmente de los atestados cumplidos por la policía judicial, el primero con fecha del 04/09/2020 bajo núm. 3423, el segundo con fecha del 20/09/2020 bajo núm. 809, el tercero el 21/09/2020 bajo núm. 812 por la Gendarmería de Boudinar, el cuarto con fecha del 03/10/2020 bajo núm. 840 por el Centro Judicial de la Gendarmería de Midar, y el quinto con fecha del 28/10/2020 bajo núm. 255 por la Brigada Nacional de Investigaciones Judiciales en Rabat, que con fecha del 04/09/2020 se incautaron una cantidad totalizando 4280 kilogramos de la droga de hachís y diecinueve bidones de treinta litros de gasolina en las costas dependientes de la zona 03 del centro de vigilancia 21, al nivel de Oued Amakran, comuna de Beni Marghnine, provincia de Driuch. Con fecha del 20/09/2020, se incautaron otra cantidad totalizando 1210 kilogramos de hachís cuarenta bidones de treinta litros de gasolina en las proximidades del centro de vigilancia núm. 16 en la zona dependiente del Pueblo de Ajdir, comuna de Old Amghar. En base a investigaciones minuciosas realizadas por los elementos encargados de investigaciones, los agentes y representantes de la autoridad local territorialmente competentes, así como por algunos habitantes de la zona e informadores con buena fe que no desearon divulgar sus identidades, les informaron que el individuo que se hizo cargo de traer las drogas incautadas sería el llamado Fikri Boutajer.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Llevando a cabo las instrucciones del Ministerio Fiscal se hizo traslado a la casa del denominado Fikri, que fue arrestado y metido bajo las formalidades de detención preventiva, con embargo de un coche 4x4 que conducía, de marca y modelo Rexton Ssangyong, matriculado bajo núm. 3855 A 76. Sometido dicho vehículo a una peritación cumplida por la brigada de identificación judicial, se averiguó que el coche estaba en situación irregular ya que su bastidor estaba completamente raspado. Interrogado sobre las drogas incautadas, negó cualquier enlace con las mismas, diciendo que no le pertenecía, reconociendo que dio un importe de cuarenta mil Dirham a los agentes de gendarmería para eludir que sea interrogado en cuanto a este asunto y así prevenir su implicación en este caso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Brigada Nacional de Investigaciones udiciales fue encomendada por este Ministerio Fiscal para abrir y profundizar las investigaciones sobre este caso de tenencia de drogas y tráfico internacional con las mismas, para al final, llegar a las identidades de los individuos involucrados, y luego ponerse en contacto con este Ministerio Fiscal, reconduciendo las investigaciones con el llamado Fikri Boutajer, que estaba detenido en la prisión local de Nador (02) en cuanto a los hechos de posesión y tenencia de drogas y tráfico internacional de drogas, por existencia de presunciones fuertes indicando su implicación en este caso, con realización de las formalidades forenses necesarias, y toma de contacto con este Ministerio Fiscal a la luz de los resultados de las indagaciones.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primer acusado, Ahmed Ayaakoub preliminarmente, dijo que conoce al traficante de estupefacientes, llamado Fikri Boutaer, con él que se había encontrado en múltiples ocasiones antes del 03/09/2020, día de incautación de los 4280 kilogramos de hachís preparados para ser contrabandeados. Dijo que Fikri Boutajer le había solicitado ayuda para ello, haciendo la vista gorda hasta que llegue a la zona núm. 03 dependiente del Centro de Vigilancia núm. 21 Prime de las costas de Beni Marghnine, comuna de Beni Marghnine, Caidato de Boudinar —Beni Marghnine, Círculo del Rif, provincia de Driouch, ya que era agente de autoridad en cargo de vigilancia de dicha zona, pero que él siempre lo rechazaba tajantemente, que una semana antes del día 03/09/2020, Fikri Boutajer siguió insistiendo para solicitar su ayuda para que pueda pasar la droga, por lo que el dicente le prometió que iba a pensar en ello. El dicente dijo que se encontró con Fikri Boutajer de nuevo y que este último se lo solicitó de nuevo prometiéndole que iba a ganar mucho dinero de ello. El dicente dijo que se atrevió en ello por miedo de descubrimiento del caso por los demás vigilantes de los miembros de fuerzas auxiliares o de los agentes subalternos, pero que Fikri le aseguró que él lo había preparado todo con los intervinientes, sin darle nombres, diciéndole que iba a traer las drogas con fecha del 03/09/2020 en la mañana, ya que sabía que su turno de vigilancia y el turno de vigilancia por el vehículo de las fuerzas auxiliares del lugar se acaba a las siete de la mañana. Le dijo también que iba a acceder a la zona a través del camino que vigilaba y que iba a meter las drogas entre los árboles para volver de noche y traerlas a las costas en las proximidades de la zona núm. 03. El dicente añadió que ante tal proposición y tal promesa en virtud de la cual Fikri Boutajer iba a darle un gran importe de dinero que no le había fijado, el dicente la aceptó, y que con fecha del 03/09/2020 en medio día recibió una llamada de la parte de los agentes subalternos Omar Derraz y Mustapha Koubaa informándole que estaban al tanto de este asunto de tráfico de drogas a favor del llamado Fikri Boutajer, y que ellos también eran participantes en ello. Les aconsejo que lo guardaran de secreto. Supo de ellos que algunos agricultores vieron en los alrededores de las 09:00 horas de la mañana un coche penetrando en el bosque a través del camino que él mismo vigilaba, que el coche era de modelo Sprinter, que dicho coche transportaba a muchos trabajadores y que descargaron los bultos de drogas en el bosque. El declarante dijo también que con fecha del 03/09/2020, en los alrededores de las 18:00 horas, dio una vuelta en el bosque donde se termina el camino de coches y que vio bultos de drogas. Dijo que regresó, fingiendo que no sabía nada. Dijo que a los alrededores de medianoche logró oír sonidos de pasos y de muchos individuos acudiendo al lugar donde estaban los bultos de drogas, por lo que supo que la operación estaba a punto de ser ejecutada, y que siguió su trabajo como si nada hubiera ocurrido. Dijo también que comunicó con los agentes subalternos Omar Derraz y Mustapha Koubaa, y que en los alrededores de las 02:30 horas de la mañana hubo mucho ruido y muchos gritos, habiéndose alzado las voces desde la zona núm. 03, por lo que supo que algo mal ocurrió. Dijo que recibió una llamada de la parte del Caid del Caidato informándole que algo ocurrió en el lugar y que tenía que aportar datos de ello, pero que él no se dirigió a la zona núm. 03, sino que se dirigió a la zona núm. 04 para alejar cualquier sospecha en su persona. Añadió que cuando llegó a la zona núm. 04, el agente de las fuerzas auxiliares que estaba allí le informó que se frustró una operación de tráfico de drogas, y que se comportó como si no supiera nada. El dicente afirmó que era la primera operación ejecutada por el llamado Fikri Boutajer a través del centro de vigilancia núm. 21 Prime del que se hacía cargo, que también era la primera operación en la cual él mismo tuvo parte, y que no recibió ninguna retribución por ello de la parte de Fikri Boutajer ya que la operación fue frustrada y este último arrestado. Dijo últimamente que no puede determinar si este último cumplió otras operaciones de tráfico de drogas pasando por otros centros de vigilancia.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segundo acusado Mohamed Aqassou preliminarmente, dijo que estaba encarcelado en la prisión local de Nador en el marco de una instrucción en un caso de emigración clandestina, cuando recibió la visita de un abogado del que supo que el denominado Fayssal (Fikri Boutajer) le encomendó defenderle en el mismo caso. Mohamed Aqassou dijo que preguntó a dicho abogado quién era el denominado Fayssal, y que le respondió que todo lo que sabía era que un individuo llamado Fayssal le abonó sus honorarios y le encomendó defenderle en el caso. Mohamed Aqassou dijo que no se opuso a ello, especialmente que nadie de su familia mostró interés de él cuando estaba en cárcel. Dijo que cuando estaba en cárcel, recibió de la parte del denominado Fayssal un giro de mil Dirham y que al momento de abandonar el establecimiento penitenciario con fecha del 16/09/2020 un individuo a bordo de un coche 4x4 estaba esperándole, diciendo que se llama Fayssal y que le transportó hacia la ciudad de Nador, donde cenaron. Mohamed Aqassou añadió que este individuo le llevó a un hotel en el centro de la ciudad donde alquiló a su favor una habitación y le dio un importe de dinero que no recuerda con su número de teléfono, insistiendo en llamarle en caso de necesitar algo. Mohamed Aqassou dijo que se lo agradeció ya que le ofreció ayuda sin contrapartida. Mohamed Aqassou dijo que no obstante ello, este individuo le preguntó si seguía trabajando dentro del Grupo 38 de fuerzas auxiliares, y que respondió afirmativamente, aunque sabía que fue reasignado a otro lugar, y que el día siguiente le llamó para transportarle a la sede del Grupo 38 de fuerzas auxiliares, y que se despidió pretendiendo estar atareado. Dijo que estaba en comunicación por un tiempo con el denominado Fayssal, a quien solicitaba demandar al abogado datos sobre el destino de su caso relativo a la emigración clandestina, y que sus comunicaciones con él se interrumpieron. Mohamed Aqassou añadió que el denominado Fayssal ‘Fikri Boutajer’ le había dicho que algunos amigos suyos eran quien le encomendaron asistirle en su crisis sin que él le diera ninguna contrapartida. Mohamed Aqassou dijo últimamente que no tiene nada que ver con el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 una certificación del procedimiento fue transferida a la Brigada Nacional de Investigaciones Judiciales, dependiente de la gendarmería por este Ministerio Fiscal para profundizar las indagaciones en los hechos del atestado núm. 255 del 28/10/2020, cumplido por dicha brigada, por vía de escucha de los llamados Mohamed Chakout y Ali Chakout y los dos agentes de fuerzas auxiliares Soufiane Benhalla y Adil Zouhri en cuanto a los acontecimientos del asunto, profundizando, de otra parte, las indagaciones con los agentes de fuerzas auxiliares Omar Derraz, Mustapha Koubaa y Kontiss Brahim a la luz de las declaraciones del agente subalterno Ahmed Ayaakoub, cumpliendo las investigaciones sociales y las peritaciones técnicas indispensables sobre los teléfonos móviles de dichos individuos, con publicación de una orden de búsqueda al nivel nacional contra Fikri Boutajer, volviendo a contactar al Ministerio Fiscal a la luz de los resultados de las investigaciones.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Ejecutando estas instrucciones, se procedió a la escucha preliminar del llamando Soufiane Benhalla, que fue afrontado a los resultados de las peritaciones realizadas en el marco de este caso, reconociendo que se había encontrado con el denominado Fayssal, del que no conocía el verdadero nombre ‘Fikri Boutajer’, y que este último le solicitó una mediación con los demás agentes de fuerzas auxiliares para facilitar el contrabando internacional de drogas a su favor. Soufiane Benhalla añadió que después de tres días de este encuentro, informó al llamado Fayssal que ya había entregó su número de teléfono al agente de fuerzas auxiliares llamado Mohamed Aqassou, que era vice-jefe de del centro de vigilancia núm. 21, diciéndole que él iba a llamarle, por lo que el llamado Fayssal le dio un importe de cien Dirham.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interrogar al llamado Ali Chakout y afrontarle con los resultados de las peritaciones realizadas en el marco del caso, declaró que conoce al llamado Fikri Boutajer, que ya entró en comunicación telefónica con él en múltiples ocasiones por el parentesco que tiene con él. Interrogado en cuanto a las llamadas telefónicas que tuvo con el agente de fuerzas auxiliares Redwane, que era jefe del Centro de Vigilancia 21, adyacente al centro de vigilancia 21 Prime donde se incautaron los 4250 kilogramos de drogas en la noche del 03/09/2020 al 04/09/2020, que tuvieron lugar en la misma fecha de incautación de dicha cantidad, dijo que no recordaba el contenido de dichas llamadas. Afrontado a los resultados de la peritación técnica realizada sobre las estaciones de conexión telefónica, que afirman la contradicción de sus declaraciones en cuanto al lugar donde estaba el día de incautación de la cantidad de 1210 kilogramos de drogas en la noche del 19/09/2020 al 20/09/2020, dijo que no tenía respuestas.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en consideración que se desprende del informe informativo de la Brigada Nacional de Investigaciones Judiciales, dependiente de la Gendarmería Real núm. 25582/2MMPJ del 10/03/2022, que el llamado Fikri Boutajer abandonó el territorio nacional de manera ilícita hacia España según los datos facilitados por la comandancia regional de Gendarmería de Nador, y ello después de que fue citado para ser interrogado por dicha brigada.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que la necesidad de investigación en los hechos imputados aI presunto precitado exige la emisión de una orden internacional de captura contra él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el 19 de febrero de 2023 en San Antoni de Portamany (Ibiza) y puesto a disposición del Juzgado Central de Instrucción núm. 2, que incoó el procedimiento de extradición pasiva núm. 30-2023, y acordó por auto de 20 de febrero de 2023, tras celebrar comparecencia del art. 505 de la Ley de enjuiciamiento criminal, su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27 de marzo se recibió por vía diplomática la nota verbal de la Embajada de Marruecos núm. 611, de 16 de marzo de 2023, en la que se solicitaba del Ministerio de Justicia de España la extradición del ahora recurrente en amparo, para el enjuiciamiento por delito de tenencia, transporte y tráfico de drogas, facilitación de uso de estas drogas a favor de otras personas a título oneroso, tentativa de exportación de droga al extranjero, haber tenido un convenio colectivo para cometer tales hechos, violación de las reglas relativas al movimiento y tenencia de drogas dentro de la circunscripción aduanera y complicidad en todo ello, lo que se acompañaba de la orden internacional de detención emitida por el fiscal, de un resumen de los hechos que reproducía los de la orden internacional de detención y de una relación de los preceptos legales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Consejo de ministros en sesión de 25 de abril de 2023 acordó, de conformidad con el art. 9.3 de la Ley 4/1985, de 21 de marzo, de extradición pasiva (en adelante,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reclamado fue oído en comparecencia del art. 12 LEP en el Juzgado Central de Instrucción núm. 2, oponiéndose a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Elevados los autos a la Sección Segunda de la Sala de lo Penal de la Audiencia Nacional, esta inició el rollo de extradición núm. 19-2023 y dio vista del mismo, en los términos del art. 13 LEP, al fiscal y a la defensa del reclamado, para que formularan alegaciones. El fiscal interesó que se accediera a la solicitud de extradición, oponiéndose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Celebrada la vista extradicional el 22 de junio de 2023, en la que el fiscal reiteró su opinión en sentido favorable a la petición de extradición y la defensa del demandante de amparo su oposición, la Sección Segunda de la Sala de lo Penal de la Audiencia Nacional dictó el auto núm. 325/2023, de 27 de junio, por el que acordó acceder en fase jurisdiccional a la solicitud de extradición del actor por concurrir los presupuestos exigidos en el Convenio de Extradición entre el Reino de España y el Reino de Marruecos, suscrito en Rabat el 24 de junio de 2009 (en adelante, convenio bilateral) y en la Ley de extradición pasiva , en particular los requisitos de doble incriminación y mínimo punitivo exigidos en el art. 2.1 del convenio bilateral, porque los hechos por los que se solicitaba la extradición eran constitutivos de un delito de tenencia, transporte y tráfico de drogas, facilitación de uso de estas drogas a favor de otras personas a título oneroso, tentativa de exportación de droga al extranjero, haber tenido un convenio colectivo para cometer tales hechos, violación de las reglas relativas al movimiento y tenencia de drogas dentro de la circunscripción aduanera y complicidad en todo ello, equivalente en nuestro ordenamiento penal a un delito contra la salud pública del art. 368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esta decisión el actor interpuso recurso de súplica, en el que alegó 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así como en la STC 147/2021, de 12 de julio, por estimarlas aplicables al caso, así como la vulneración del derecho a la tutela judicial efectiva y a un proceso con todas las garantías del art. 24 CE en conexión con el derecho a la libertad personal (art. 17 CE). También adujo vulneración del derecho a la tutela judicial efectiva (art. 24.1 CE), en relación con el requisito de doble incriminación, por cuanto los hechos relatados en la demanda extradicional no pueden subsumirse en un delito de tráfico de drogas, sino en un delito de cohecho 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62/2023, de 21 de julio,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razones por las que considera que no es aplicable a este caso la STC 147/2020, de 19 de octubre, invocada en el recurso de súplica, ni la STC 147/2021, de 12 de julio. Afirma que la orden de detención emitida por el fiscal satisface los requisitos formales del art. 12.1 a) del Convenio bilateral de extradición, y según la información complementaria a la que se refiere el auto de 4 de junio de 2021, en el ordenamiento jurídico de aquel país el fiscal es uno de los componentes del poder judicial, tiene competencia para expedir órdenes internacionales de arresto, y estas órdenes una vez emitidas no necesitan de ninguna legalización judicial, pues se consideran órdenes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existe disparidad de hecho y de derecho entre los supuestos de extradición enjuiciados por este tribunal en el caso de Colombia (STC 147/2020, de 19 de octubre) y el ahora examinado de Marruecos.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 Por ello, concluye que el fiscal del Reino de Marruecos es autoridad competente en el derecho interno para emitir la orden internacional de detención y para solicitar formalmente la extradición, dándose a la misma eficacia de cara a constituir título válido, conforme al tratado, para otorgar la extradición, y ello sin necesidad de que la misma deba ser ratificada por el juez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referida al quebrantamiento del principio de doble incriminación, la Sala rechaza que los hechos sean subsumibles en un cohecho activo ya enjuiciado y considera que el recurrente está siendo reclamado por un delito de tráfico de drogas que no ha sido todavía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firmado por cuatro magistrados que consideran que no se ha aplicado correctamente la doctrina sentada en la STC 147/2020, en la que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sin indefensión (art. 24.1 CE) su derecho a un proceso con todas las garantías (art. 24.2 CE) y su derecho a la libertad personal (art. 17.3 CE), porque la orden de arresto de 12 de septiembre de 2022 emitida por el fiscal sustituto del rey de Marruecos carece de control judicial en origen. A su juicio, no se ha producido la necesaria concurrencia de una autoridad judicial, exigida en las SSTC 147/2020 y 147/2021, para garantizar la proporcionalidad de la solicitud de extradición. En segundo lugar, considera vulnerado el derecho a la tutela judicial efectiva sin indefensión (art. 24.1 CE) en relación con el principio de doble incriminación. El demandante sostiene que no concurre el requisito de doble incriminación ya que, partiendo de una lectura global de la solicitud de extradición, la actuación que se le imputa es la de haber obtenido la colaboración de un agente de aduanas a cambio de dinero para efectuar el transporte de las sustancias estupefacientes y, por consiguiente, estos hechos deberían ser calificados como un delito de cohecho y no como un delito de tráfico de drogas, al margen de que al no existir la correspondiente figura delictiva en Marruecos, procedería denegar la extradición a este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23 de octubre de 2023, acordó admitir a trámite el recurso de amparo apreciando que concurre en el mismo una especial trascendencia constitucional [art. 50.1 de la Ley orgánica del Tribunal Constitucional (en adelante, LOTC)], 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al Pleno de la Sala de lo Penal de la Audiencia Nacional, a fin de que, en plazo que no excediera de diez días, remitiera certificación o fotocopia adverada de las actuaciones correspondientes al recurso de súplica núm. 60-2023. E igualmente a la Sala de lo Penal, Sección Segunda, de la Audiencia Nacional para que, en el mismo plazo, remitiera certificación o fotocopia adverada de las actuaciones correspondientes al rollo de extradición núm. 19-2023, dimanante del procedimiento de extradición pasiva núm. 30-2023 del Juzgado Central de Instrucción núm. 2, debiendo previamente emplazarse, para que en el plazo de diez días pudieran comparecer, si lo deseasen, en el recurso de amparo a quienes hubieran sido parte en el procedimiento, excepto la parte recurrente en amparo. Se acordó, asimismo, conforme a lo solicitado por la parte recurrente, la apertura de la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de la Sección de la Sala de lo Penal así como del Pleno de la Sala de lo Penal de la Audiencia Nacional, el 26 de julio de 2023 la Secretaría de Justicia de la Sala Segunda de este tribunal dictó diligencia de ordenación en la que acordaba dar vista de las mismas por un plazo común de veinte días a la parte recurrente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23 de octubre de 2023 se concedió un plazo común de tres días a la parte recurrente y al Ministerio Fiscal para que alegasen lo que estimasen pertinente en la pieza separada de suspensión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27 de octubre de 2023, la representación procesal del actor se ratificó en el contenido del otrosí de su demanda, alegando que en caso de no suspenderse la ejecución de la extradición se le ocasionaría el lógico perjuicio, con la consiguiente pérdida de la finalidad del recurso de amparo en caso de otorgarse.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7 de noviembre de 2023, el fiscal ante el Tribunal Constitucional presentó alegaciones en las que interesó que se accediera a la medida cautelar solicitada por apreciar la concurrencia de un perjuicio irreparable para el demandante en el supuesto de que se ejecutase la decisión judicial de autorizar su entrega extradicional al Reino de Marruecos, suspensión que no habría de extenderse a las medidas que pudieran adoptarse para garantizar que el demandante quedare a disposición de la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11 de diciembre de 2023, la Sala Segunda de este tribunal acordó la suspensión de la ejecución de las resoluciones judiciales impugnadas, circunscrita a la declaración judicial de procedencia de la extradición y sin perjuicio de las resoluciones judiciales que el tribunal competente pudiera adoptar para asegurar que el recurrente en amparo permanezca a disposición de la justicia. Se fundamenta la decisión en que la ejecución de los autos impugnados implicaría acceder en fase jurisdiccional, sin perjuicio de la última decisión sobre la entrega, que corresponde al Consejo de ministros, a la extradición del recurrente al Reino de Marruecos para ser enjuiciado por los delitos que se le imputan, por lo que, obviamente, de tal ejecución se le derivarían perjuicios personales de difícil reparación, siendo práctica constitucional reiterada la de acordar la suspensión de la ejecución de las resoluciones judiciales que acuerdan la extradición pues, en estos casos, si la persona requerida fuera entregada a las autoridades del Estado requirente perdería su finalidad el recurso de amparo que, en definitiva, tiene por objeto impedir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14 de febrero de 2024, la representación procesal del actor formuló alegaciones, ratificándose íntegramente en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20 de febrero de 2024, el fiscal ante el Tribunal Constitucional presentó sus alegaciones,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el fiscal encuadra la primera cuestión suscitada en el recurso de amparo en la falta de habilitación legal de la solicitud de extradición formulada por el Reino de Marruecos, por cuanto se funda en una orden internacional de detención dictada por el fiscal del rey ante el Tribunal de Primera Instancia de Driuch, sin que exista una resolución judicial que la corrobore, considerando aplicable la doctrina de la reciente STC 17/2024, de 31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sostiene que, en este caso, la documentación remitida por las autoridades marroquíes contiene los elementos que integran tanto los hechos que se atribuyen al recurrente como la calificación jurídica de los mismos, constando igualmente las diligencias practicadas bajo la dirección del fiscal del rey. Tales elementos, además, fueron analizados por las resoluciones impugnadas, llegando a la conclusión de la necesidad y proporcionalidad de la solicitud de entrega del reclamado para su enjuiciamiento, mediante la orden de una autoridad —el fiscal del rey— que tiene competencia equivalente a la de la autoridad judicial, sin necesidad, por tanto, de una adicional homologación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analiza la segunda cuestión suscitada por el demandante de amparo, respecto al quebrantamiento de la doble incriminación. Así, partiendo de que en el procedimiento de extradición no cabe una revisión del proceso de subsunción de los hechos en los tipos penales de ambas legislaciones (ATC 412/2004, FJ 4), salvo que tal subsunción resulte ajena al significado posible de los términos de la norma, considera que los órganos jurisdiccionales españoles, al apreciar que los hechos son subsumibles en un delito contra la salud pública, han realizado una interpretación de las normas penales españolas que no desborda su posible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ordenación de la Secretaría de Justicia de la Sala Segunda de este tribunal de 21 de febrero de 2024 se hace constar que el presente recurso de amparo queda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7 de marzo de 2024,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325/2023, de 27 de junio, dictado por la Sección Segunda de la Sala de lo Penal de la Audiencia Nacional, que acordó haber lugar en fase judicial a la extradición del demandante a Marruecos al objeto de ser enjuiciado por hechos constitutivos de tráfico de drogas, y del auto núm. 62/2023, de 21 de julio,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17.3 CE), porque la orden de arresto de 12 de septiembre de 2022 emitida por el fiscal sustituto del rey de Marruecos, careció del necesario control judicial en origen exigido en las SSTC 147/2020, de 19 de octubre, y 147/2021, de 12 de julio para garantizar su necesidad y proporcionalidad. Asimismo, alega la vulneración de su derecho a la tutela judicial efectiva (art. 24.1 CE) en relación con el principio de doble incriminación, pues, a su entender, los hechos no constituirían un delito de tráfico de drogas, sino uno de cohecho, sin equivalente en el ordenamiento jurídico-penal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interesa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del Tribunal Constitucional, por providencia de 23 de octubre de 2023,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orden de examen de las quejas articuladas por el actor debemos atenernos a los criterios expuestos en nuestra doctrina, según la cual, en el análisis de las diferentes lesiones alegadas ha de seguirse el criterio de “mayor retroacción” (SSTC 180/2015, de 7 de septiembre, FJ 3, y 102/2020, de 21 de septiembre, FJ 2), lo que implica conceder prioridad al examen de aquellas causas que, de prosperar, determinarían la retroacción a un momento procesal más antiguo y haría innecesario un pronunciamiento sobre las restantes (SSTC 152/2015, de 6 de julio, FJ 3; 56/2019, de 6 de mayo, FJ 2, 41/2020, de 9 de marzo, FJ 2, y 148/2023, de 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criterio analizaremos, en primer lugar, la eventual vulneración de los derechos fundamentales a la tutela judicial efectiva sin indefensión (art. 24.1 CE) y a un procedimiento con todas las garantías (art. 24.2 CE) que se imputa a los órganos judiciales por haber accedido a una extradición que no contaba con un previo control judicial del país requirente. En caso de que no proceda la estimación de esta queja, procederemos al análisis de la vulneración del derecho fundamental a la tutela judicial efectiva (art. 24.1 CE), en relación con el principio de doble incriminación, en cuanto el demandante entiende que los hechos que se le imputan no constituirían un delito de tráfico de drogas, sino uno de cohecho, sin equivalente en el ordenamiento jurídico-penal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establecida en la STC 17/2024, de 31 de enero, sobre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17/2024, de 31 de enero, este tribunal ha aclarado que la doctrina fijada en las SSTC 147/2020 y 147/2021 sobre tutela judicial del derecho a la libertad en los procedimientos de extradición pasiva fijada distingue dos tipos de garantía. En primer lugar, una garantía básica, consistente en que el órgano judicial al examinar la petición de extradición verifique la imparcialidad de la autoridad que la ha emitido, tratándose de una garantía inherente al deber de motivación reforzada de una decisión que ha de afectar necesariamente a la esfera de la libertad personal del reclamado. Y, en segundo término, una garantía específica, consistente en que la solicitud venga refrendada por una autoridad 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ex art. 1.1 LEP. Así debe afirmarse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dicho, el motivo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queja relativa a la vulneración del derecho a la tutela judicial efectiva en relación con el principio de doble incriminación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vulneración que el recurrente imputa a las resoluciones impugnadas es la del derecho a la tutela judicial efectiva sin indefensión (art. 24.1 CE), por cuanto sostiene que, partiendo de una lectura global de la solicitud de extradición, la actuación que se le imputa es la de haber obtenido la colaboración de un agente de aduanas a cambio de dinero para efectuar el transporte de las sustancias estupefacientes. Para el demandante, estos hechos deberían ser calificados como un delito de cohecho y no como un delito de tráfico de drogas y, dado que no existe la correspondiente figura delictiva en Marruecos, procedería denegar su extradición, siendo que las garantías prestadas por Marruecos únicamente se han prestado para el delito de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el principio de la doble incriminación está incluido en el derecho fundamental a la legalidad penal (SSTC 11/1983, de 21 de febrero, y 102/1997, de 20 de mayo; AATC 95/1999 , de 14 de abril, y 121/2000 de 16 de mayo) y su significado consiste en que el hecho sea delictivo y esté sancionado con una determinada penalidad en las legislaciones punitivas del Estado requirente y del Estado requerido (STC 102/1997 y ATC 23/1997 de 27 de enero), si bien no implica la identidad de penas en ambas legislaciones, sino que basta que se cumplan los mínimos penales previstos en las normas aplicables, en este caso los establecidos en el Convenio de Extradición entre el Reino de España y el Reino de Marruecos, suscrito en Rabat el 24 de junio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esta doctrina, no podemos apreciar en la respuesta judicial dada por las resoluciones judiciales impugnadas la lesión que invoca el recurrente, pues la Audiencia Nacional justifica el cumplimiento del principio de doble incriminación en el presente caso de forma razonable y suficientemente motivada, afirmando que el relato fáctico acogido en la demanda extradicional refleja perfectamente un delito de tráfico de drogas imputado al señor Boutajer, siendo que los hechos conexos que presuntamente serían constitutivos de cohecho ya habrían sido juzgados. Así aparece especificado por el Pleno de la Sala de lo Penal de la Audiencia Nacional al señalar que “[l]a mera lectura de las actuaciones, y en concreto de la nota verbal emitida por las autoridades marroquíes, descartan absolutamente esta interpretación, como así hace de forma detallada el auto recurrido. La nota verbal emitida por las autoridades marroquíes describe con detalle los hechos por los que se le reclama, y así, se le imputa ser el responsable de los hechos acaecidos en la noche del 3 y 4 de septiembre de 2020, hechos constitutivos de un delito de tráfico de drogas (se le imputa ser la persona responsable de la cantidad incautada el 4 de septiembre de 2020, esto es, 4280 kilogramos de hachís, diecinueve bidones de treinta litros de gasolina en las costas dependientes de la zona 03 del centro de vigilancia 21, al nivel de Oued Amakran, comuna de Beni Marghnine, provincia de Driuch). La referencia al delito de cohecho no es correcta. No se le reclama por tal delito, como tampoco ha sido enjuiciado por los hechos por los que ahora se le reclama, tal y como como expone la resolución recurrida en el fundamento jurídico noveno. El delito de tráfico de drogas por el que se le reclama no ha sido enjuiciado, tal y como ya se puso de relieve por el Juzgado Central de Instrucción número 3 den el auto de 4 de mayo de 2023 al elevar la extradición a la Sala. Las sentencias aportadas por la defensa (sentencia 290 del 14/12/2020 dictada por el Juzgado de Primera Instancia de Driouch, confirmada por la sentencia 609 de 20/05/2021 dictada por el Juzgado de Apelación de Nador) se condena por un delito de cohecho y por un delito de falsedad, hechos ocurridos el 20 de septiembre. Por los hechos por los que ahora se le reclama son anteriores, y como señala la resolución ‘no están prescritos’, al haber tenido lugar la noche del 3 al 4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los mismos motivos expuestos, a la misma conclusión se llega con relación a la supuesta infracción del principio non bis in idem. Al no haber sido enjuiciados los hechos por los que se le reclama, no se puede hablar de infracción del principio non bis in idem ni de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bien razona el fiscal, en el procedimiento de extradición no cabe una revisión del proceso de subsunción de los hechos en los tipos penales de ambas legislaciones, salvo que tal subsunción resulte ajena al significado posible de los términos de la norma (ATC 412/2004, de 2 de noviembre, FJ 4) y, en el presente caso, los órganos jurisdiccionales españoles, cuando han considerado los hechos subsumibles en un delito contra la salud pública, han realizado una interpretación de las normas penales españolas que no desborda su contenido. En los hechos que sustentan la demanda extradicional, además del logro de la connivencia de un funcionario para facilitar el transporte de la mercancía, se narra cómo se produce un traslado de 4250 kilos de hachís hasta un lugar intermedio, previo al previsto desplazamiento definitivo de la droga hasta la costa. Se hace así mención a una disponibilidad sobre la sustancia que está abarcada por el tenor literal posible del tipo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queja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Ramón Sáez Valcárcel a la sentencia que resuelve el recurso de amparo núm. 6218-2023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Expreso mi desacuerdo con la doctrina elaborada en la STC 17/2024, de 31 de enero, que aquí se aplica, al no haber podido intervenir en su elaboración por abstención (había participado en la resolución del recurso de súplica extradicional del que traía causa 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STC 17/2024 ha venido a desactivar en el procedimiento de extradición pasiva de carácter procesal o cautelar —con finalidad de persecución penal— la garantía jurisdiccional de la privación de libertad del reclamado en relación con las decisiones que soportaban la petición de entrega en el Estado requirente, que habían establecido las SSTC 147/2020 y 147/2021. Para este fin el análisis del caso, en aquel recurso y en el que nos ocupa, abandona la perspectiva constitucional de la tutela judicial efectiva y el derecho al proceso con todas las garantías en conexión con el derecho a la libertad personal (arts. 24.1 y 2 y 17 CE), para adentrarse en un análisis de legalidad ordinaria acerca de los requerimientos documentales del Convenio bilateral de extradición entre España y Marruecos.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doctrina que se ha dejado sin efecto afirmaba dos cosas: “que no hay garantía efectiva del derecho a la libertad sin una mediación judicial que controle la necesidad y proporcionalidad de la medida que le afecte” en la decisión que activó la extradición; y que cuando interviniera una autoridad pública no judicial, a la que la legislación del Estado requirente atribuyera participación en la administración de la justicia penal, como son las fiscalías, “demandará en todo caso la inexcusable concurrencia de una autoridad judicial incluso en aquellos casos en que sea incuestionable su independencia estructural del poder ejecutivo” (fundamento jurídico 3 de la STC 147/2021). Es decir, en la emisión de la extradición con fines procesales debería existir control judicial, único modo aceptable de entender que se ha respetado en el proceso penal de origen el canon del juicio de proporcionalidad para la restricción de la libertad personal del reclamado. Pues, la extradición es un procedimiento auxiliar del proceso penal que se sigue en el Estado requirente, sede en la que se acuerda la privación de libertad de la persona objeto de la reclamación. Y ello, al margen del marco regulador de la extradición, ya fuera un convenio bilateral o, en su ausencia, la Ley de extradición pasiva (4/1985, de 21 de marzo), criterio que en aquellas dos sentencias no jugaba papel alguno. Es una interpretación de la STC 147/2021 —también las sentencias son objeto de interpretación— la afirmación de que resultó relevante en la decisión la aplicabilidad de la Ley de extradición al no existir tratado con Angola, ley que exige la remisión del auto de procesamiento y prisión o de una resolución análoga. La argumentación de las dos sentencias que elaboraron la doctrina que ahora se abandona era de carácter constitucional y desde la perspectiva del encuadre que del objeto del recurso se había hecho en los derechos a la tutela judicial efectiva y al proceso con todas las garantías en relación con la libertad personal, de los art. 24.1 y 2 y 17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STC 17/2024, que ahora se aplica para desestimar el recurso, considera que la “garantía específica, consistente en que la solicitud venga refrendada por una autoridad judicial desde el mismo país de origen”, que ya no considera fundada en el derecho a la tutela judicial efectiva y a un proceso con todas las garantías en relación con la libertad personal (arts. 24.1 y 2 y 17 CE) sino en la Ley de extradición pasiva, “puede verse modulada en función de lo previsto en el convenio de extradición vigente entre las partes”, de tal modo que la “intermediación judicial puede dispensarse excepcionalmente cuando concurran” tres requisitos, a saber, que el convenio admita la emisión de la solicitud de entrega por parte de una autoridad no judicial, que se acredite su competencia en el asunto y que la documentación proporcione al juez español la información suficiente para verificar que la misma resulta necesaria y proporcionada. Nada se dice acerca de cómo en el sistema continental de extradición —donde el juez de ejecución no puede enjuiciar la racionalidad y suficiencia indiciaria de la persecución penal que se sigue en el otro Estado— se puede acometer esa tarea de “verificación judicial” ni la documentación que debiera soportarla.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a mi juicio, de una degradación de los requerimientos constitucionales del procedimiento de extradición pasiva. Lo pone de manifiesto que la doctrina de la que discrepo mencione la intervención del juez, la garantía jurisdiccional, como mero “refrendo judicial” o “mediación judicial”, reduciendo la capacidad incisiva y de control que conlleva a lo que parece un acto de mera adhesión o convalidación.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constitucionalización de la extradición en el art. 13 CE es un dato de especial trascendencia. Porque supone la transformación de la institución desde el paradigma del respeto a la soberanía en las relaciones entre Estados, la lucha contra la impunidad y la facilitación del ejercicio de la potestad punitiva, a la inserción de la extradición pasiva en el Estado de Derecho, con la consecuencia de someterla a los límites y vínculos que representan los derechos fundamentales, y con el reconocimiento de un estatuto jurídico de la persona reclamada, que goza plenamente de los derechos fundamentales y, entre ellos, de la garantía jurisdiccional de su libertad personal. De manera que la función del procedimiento de extradición pasiva ya no puede ser la de facilitar la entrega de una persona a otro Estado que le reclama para juzgarle o que cumpla condena, sino la protección y el amparo de los derechos fundamentales de la persona, derechos humanos que forman parte del orden público internacional y del principio de legalidad extradicional. Es más, el Estado requerido no puede eludir su responsabilidad por las vulneraciones previsibles de los derechos humanos del extraditado que tengan lugar en el Estado requirente con posterioridad a la entrega (STEDH de 7 de julio de 1989, asunto Soering c. Reino Unido, pár. 91, que ha propiciado la doctrina de la vulneración indirecta de los derechos fundamentales por la autoridad española que accediera a la entrega sin evaluar con el debido rigor los riesgos).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este contexto de respeto y protección de los derechos fundamentales del reclamado, la exigencia de jurisdiccionalidad de la decisión del Estado de emisión de actuar la potestad de solicitar la entrega de un persona que se halla en España para perseguirle penalmente es una garantía mínima de protección de la libertad personal, porque condiciona de manera radical la capacidad del juez de la extradición pasiva para ejercer su función de guardián de los derechos fundamentales del extraditando y examinar la necesidad y proporcionalidad de la privación de libertad que provoca su admisión.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importante distinguir la extradición procesal que nos ocupa, con fines de persecución penal o de enjuiciamiento, de la extradición ejecutiva que tiene por objeto el cumplimiento de una pena, pues en este supuesto no se plantea problema de control judicial. Porque la tramitación de la extradición pasiva conlleva la privación de libertad del reclamado —en uno u otro momento, a veces desde que se recibe preventivamente la orden policial de detención y durante meses—, sin que el Estado requerido pueda entrar a valorar en el sistema continental, al que responde nuestro modelo, si la persecución penal está suficientemente fundada, si está indiciariamente justificada, si persigue un fin legítimo, si es adecuada al mencionado fin, necesaria y estrictamente proporcionada y, por lo tanto, se puede descartar que sea una decisión arbitraria. El juicio cautelar o prima facie del juez de ejecución de la extradición pasiva tiene un ámbito muy limitado. De ahí que resulte imprescindible a efectos de otorgar legitimidad al proceso que se implante la garantía jurisdiccional en algún momento del planteamiento de la petición extradicional, ya sea al emitir la orden de detención internacional o en la formulación de la demanda de entrega, por la escasa capacidad de la intervención judicial en sede de ejecución que no puede remediar la ausencia de la garantía en la petición de cooperación. Aquí, de manera evidente, la jurisdiccionalidad de la decisión funciona como garantía de libertad y como prevención frente a persecuciones arbitrarias.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Buena demostración de la imposibilidad de llevar a cabo la tercera exigencia que establece la nueva doctrina (que la solicitud y la documentación proporcionen información suficiente para verificar que la misma resulta necesaria y proporcionada) a la vista de los requerimientos documentales de la extradición que —de manera homogénea establecen, en este punto, la ley y los convenios bilaterales— es que nuestras sentencias, en aquel recurso de amparo y en estos a los que se aplica, se limiten a afirmar apodícticamente que la orden de detención y la solicitud de extradición del fiscal del Estado de emisión contienen una exposición circunstanciada de los hechos imputados, de la calificación jurídica y de las diligencias de investigación “en términos que no permiten poner en duda la necesidad y proporcionalidad de su decisión”. Necesidad y proporcionalidad que no se suponen, sino que deben ser la conclusión del juicio que demandan. Además, sobre una decisión que implica la privación de libertad de la persona reclamada. No creo que un acta forense que ofrece sencillamente un relato de hechos y la tipificación de las conductas permita al juez de la extradición pasiva efectuar el control que requiere la garantía jurisdiccional, en esta sede, de la limitación del derecho a la libertad personal. La garantía jurisdiccional ha quedado desactivada, el juez no puede realizar un verdadero control de proporcionalidad de la privación de libertad del reclamado que proteja a la persona de decisiones arbitrarias (STEDH de 24 de marzo de 2015, asunto Gallardo Sánchez c. Italia, pár. 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Por último, solo dejar constancia en el plano de análisis de legalidad ordinaria en que se desenvuelve la sentencia de la que discrepo, que si cierto es que el art. 12 a) del Convenio bilateral de extradición no exige resolución judicial para la reclamación cautelar, puede entenderse que va de suyo porque la norma prevé en su art. 1 el compromiso de las partes de entregarse recíprocamente a las personas que se encuentren en su territorio y “sean procesadas por un delito”, requerimiento que reproduce en el art. 2.1 al establecer los principios del mínimo punitivo y de doble incriminación (“[s]erán objeto de extradición […] [l]as personas que sean procesadas por hechos que, según las legislaciones de los dos Estados, estén castigados con una pena privativa de libertad de dos años de duración como mínimo”). El tenor literal del texto identifica una institución, la del procesamiento, que en nuestro ordenamiento jurídico remite al intérprete a una resolución judicial que formaliza la imputación, no a la decisión de una autoridad no jurisdiccional. Por lo tanto, no se puede descartar que el convenio no obligue a la intervención del juez en algún momento de la emisión del pedido extradicional.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marzo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