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66</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2 de julio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y doña Laura Díez Bueso, en la cuestión de inconstitucionalidad núm. 2672-2024, promovida por la Sección Tercera de la Sala de lo Contencioso-Administrativo del Tribunal Superior de Justicia de Cataluña, en relación con los apartados cuarto de los arts. 6 y 9 de la Ley del Parlamento de Cataluña 24/2015, de 29 de julio, de medidas urgentes para afrontar la emergencia en el ámbito de la vivienda y la pobreza energética, con ponencia del magistrado don César Tolosa Tribiño,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abril de 2024 tuvo entrada en el registro de este tribunal testimonio de las actuaciones referidas al recurso de apelación núm. 1783-2022 del que conoce la Sección Tercera de la Sala de lo Contencioso-Administrativo del Tribunal Superior de Justicia de Cataluña, interpuesto contra la sentencia núm. 3/2022, de 11 de enero, dictada por el Juzgado de lo Contencioso-Administrativo núm. 4 de Barcelona, en el procedimiento ordinario núm. 77-2017. En el testimonio constaba el auto dictado por dicha Sección, el 12 de marzo de 2024, por el que se acuerda plantear cuestión de inconstitucionalidad en relación con los apartados cuarto de los arts. 6 y 9 de la Ley del Parlamento de Cataluña 24/2015, de 29 de julio, de medidas urgentes para afrontar la emergencia en el ámbito de la vivienda y la pobreza energética, por estimar que podrían ser contrarios a las competencias del Estado sobre bases y coordinación de la planificación general de la actividad económica (art. 149.1.13 CE) y bases del régimen minero y energético (art. 149.1.25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23 de diciembre de 2016 el gerente de Derechos Sociales del Ayuntamiento de Barcelona en el expediente núm. 20160365 dictó dos resoluciones de contenido similar.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primera de ellas requería a las compañías comercializadoras de suministros básicos de electricidad, de gas y agua potable que operan en el municipio de Barcelona para que, en cumplimiento del art. 6.4 de la Ley 24/2015, de 29 de julio, con carácter previo a realizar un corte de suministro dentro del término municipal de Barcelona, solicitaran un informe al Instituto Municipal de Servicios Sociales del Ayuntamiento de Barcelona mediante correo electrónico según el modelo anexo. Se advertía en la misma que el incumplimiento de la resolución comportaría su ejecución a través de la imposición de multas coercitivas y también que, de acuerdo con el art. 6 de la Ley 24/2015, existe la obligación de garantía de los suministros básicos asumida por las administraciones públicas, a los efectos de que como compañía suministradora de servicios básicos no procedan a la suspensión del suministro.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resolución requería a dichas compañías para que a partir del mes de enero de 2017 comuniquen al referido instituto y por el mismo cauce, con una periodicidad mensual dentro de los días comprendidos entre el 15 y 20 del mes, los datos que figuran en el documento anexo con objeto de hacer efectiva la garantía del derecho de acceso a los suministros básicos a las personas y unidades familiares en situación de riesgo de exclusión residencial y de pobreza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entidad EDP Comercializadora S.A.U., interpuso recurso contencioso-administrativo contra dichas resoluciones en el que solicitaba que se declarara su nulidad al considerar que le impiden suspender el suministro. Afirma que dichas resoluciones se sustentan en el art. 9.4 de la Ley 24/2015, en relación con su art. 6.4, que son contrarios a la regulación estatal básica relativa a la suspensión del suministro eléctrico y de gas natural en todo el territorio español. Consecuentemente solicita del órgano judicial que plantee una cuestión de inconstitucionalidad de los mismos al considerarlos contrarios a los arts. 149.1.13 y 25 CE (aunque por error cita el 24, pero identifica el título como “bases del régimen minero y energético”).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Repartido el recurso contencioso-administrativo al Juzgado de lo Contencioso-Administrativo núm. 4 de Barcelona, una vez tramitado, dicho juzgado dictó sentencia el 11 de enero de 2022. La sentencia razona que las resoluciones impugnadas se apoyan en el art. 6 de la Ley 24/2015 y sintetiza el contenido de las SSTC 62/2016, de 17 de marzo; 54/2018, de 24 de mayo, y 13/2019, de 31 de enero. Descarta el planteamiento de la cuestión de inconstitucionalidad atendido el pronunciamiento de la sentencia de la Sección Tercera del Tribunal Superior de Justicia de Cataluña de 29 de diciembre de 2020 que consideró que la obligación de solicitar un informe de los servicios sociales no impide que, en ausencia de ayudas a las personas y unidades en esa situación por parte de las administraciones públicas obligadas a garantizar el suministro o de las compañías suministradoras que libremente hayan suscrito acuerdos o convenios conforme al art. 6.2 Ley 24/2005, las compañías suministradoras puedan interrumpir el suministro conforme al art. 52 de la Ley del sector eléctrico (LSE) y el art. 88.3 de la Ley del sector de hidrocarburos (LSH).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la primera de las resoluciones impone a las compañías suministradoras de servicios básicos que no procedan a la suspensión del suministro. Del resto del contenido de tales resoluciones resulta que las mismas son requerimientos de ejecución de lo previsto en los arts. VII, VIII y IX de la instrucción municipal que fue anulada por la sentencia núm. 284/2017, de 29 de noviembre, de la Sección Tercera de la Sala de lo Contencioso-Administrativo del Tribunal Superior de Justicia de Cataluña, por lo que procede declarar la invalidez de las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Frente a dicha sentencia se interpuso recurso de apelación por EDP Comercializadora S.A.U., en el que considera infringido el art. 5.1 de la Ley Orgánica del Poder Judicial al no haber planteado la cuestión de inconstitucionalidad. Entiende que, conforme a los pronunciamientos del Tribunal Constitucional, el apartado cuarto de los arts. 6 y 9 son inconstitucionales. En segundo lugar, afirma que la sentencia era incongruente al no haber resuelto sobre la pretensión de que le sea abonada por el Ayuntamiento de Barcelona, la deuda acumulada con los clientes cuyo punto de suministro está ubicado en ese municipio.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Ayuntamiento de Barcelona también interpuso recurso de apelación al entender que las resoluciones impugnadas no contienen una prohibición de corte del suministro y no se apoyan en la instrucción declarada nula, sino que aplican lo dispuesto en el art. 6.4 de la Ley 24/2015 en relación con la obligación de solicitar un informe de vulnerabilidad.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Una vez tramitados los recursos de apelación interpuestos, por diligencia de ordenación del letrado de la administración de Justicia de 22 de junio de 2022 se elevaron los autos y el expediente administrativo a la Sala de lo Contencioso-Administrativo del Tribunal Superior de Justicia para resolver el recurso de apelación. Recibido el testimonio, se dictó diligencia de ordenación por la que se declaraban conclusas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2 de octubre de 2023, la Sección Tercera de la Sala de lo Contencioso-Administrativo del Tribunal Superior de Justicia, dictó providencia con el siguiente tenor literal: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Barcelona, a dos de octubre de dos mil veintitrés.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Diferentes trámites han dado lugar a la necesidad de dejar sin efecto el señalamiento fijado, que se realiza formalmente en este resolución, con la finalidad de dar traslado a las partes y al Ministerio Fiscal de la posibilidad de plantear una cuestión de inconstitucionalidad sobre los diferentes artículos de la Ley catalana 24/2015, de 29 de julio, que ellas citan en sus escritos, y que realicen las alegaciones que tengan por conveniente sobre ello por diez días, a los efectos previstos en el artículo 35.2 LOTC”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La representación procesal de EDP Comercializadora S.A.U., mediante escrito de 16 de octubre de 2023, solicitó el planteamiento de la cuestión de inconstitucionalidad de los apartados cuatro de los arts. 6 y 9 de la Ley 24/2015, con sustento en los pronunciamientos del Tribunal Constitucional contenidos principalmente en la STC 80/2018, de 5 de julio, y también en las SSTC 62/2016 y 54/2018. Argumenta que la negativa reiterada de la Sala a plantear la cuestión de inconstitucionalidad de los indicados preceptos se ha fundado en razones que no resultan trasladables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que la sentencia del Tribunal Superior de Justicia de Cataluña de 29 de diciembre de 2020 se amparó en el dictamen del Consejo de Estado núm. 149-2016, de 21 de abril, pero dicho criterio fue modificado por los dictámenes 890-2017, de 2 de noviembre y 922-2017, de 2 de noviembre, que reflejaban la doctrina de la STC 62/2016. Añade que posteriormente las SSTC 54/2018 y 80/2018, dejaron claro que la Generalitat no puede modificar la regulación básica estatal en materia de suspensión del suministro y declararon la inconstitucionalidad de la obligación de las empresas suministradoras, que deban realizar un corte del suministro, de que previamente soliciten un informe de vulnerabilidad a los servicios sociales. Alega que la finalidad de ambos preceptos es prohibir el corte de suministro a las empresas comercializadoras, como ha reconocido el Tribunal Supremo en pluralidad de sentencias, por lo que son inconstitucionales, al vulnerar la regulación material y formalmente básica del Estado amparada en los títulos competenciales previstos en el art. 149.1.13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Ministerio Fiscal, mediante escrito presentado el 18 de octubre de 2023, extractó los antecedentes del procedimiento y sostuvo que, atendidos los términos de la providencia de apertura del trámite de audiencia, la norma con fuerza de ley cuya constitucionalidad pudiera cuestionarse se concreta en los arts. 6.4 y 9.4 de la Ley 24/2015 y los preceptos que se consideran infringidos son los arts. 149.1. 13 y 25 CE (aunque por error arrastrado del recurso de apelación interpuesto por EDP Comercializadora S.A.U., cita el ordinal 24 del art. 149.1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que “no se cumplen los presupuestos relativos a la correcta identificación de la norma que suscita las dudas de constitucionalidad y de los preceptos constitucionales que esta pudiera infringir, así como la realización del juicio de aplicabilidad y relevancia. Según lo expuesto, y lo argumentado en la sentencia apelada, en congruencia con la doctrina constitucional y el criterio de la Sala al respecto, la fiscal considera que no concurren los requisitos para el planteamiento de la cuestión de inconstitucionalidad. Subsidiariamente, y únicamente en el caso de que el planteamiento de la cuestión que pretende efectuar la Sala coincida con lo anterior, puede entenderse, que cabría plantear la cuestión, excluyendo, por tanto, cualquier otro planteamiento que pueda afectar a otras normas o se apoye en un juicio de aplicabilidad y relevancia diferente”.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La representación del Ayuntamiento de Barcelona presentó sus alegaciones el 19 de octubre de 2023. Apunta que la providencia que abre el trámite de audiencia parece señalar que la posible cuestión de inconstitucionalidad se plantea a instancia de parte y que se refiere a las normas de la Ley 24/2015 que han sido citadas por los intervinientes. Razona, que la actora en la demanda plantea la inconstitucionalidad del art. 9.4 de la Ley 24/2015 y excluye la del art. 6.4 de la misma, que se cita solo por la relación con el primero. Censura que el art. 6.4 de la Ley 24/2015 se añade en las conclusiones lo cual es inadmisible al haberse sustraído del debate.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Refiere que esta misma Sección de la Sala Contencioso-Administrativo del Tribunal Superior de Justicia en la sentencia de 29 de diciembre de 2020 resolvió que el art. 6.4 de la Ley 24/2015 cuando impone la solicitud de informe de los servicios sociales no tiene por finalidad impedir el corte del suministro, sino evitarlo mediante el otorgamiento de ayudas a las personas o unidades en riesgo de exclusión residencial. El precepto no impide que en ausencia de ayudas las compañías suministradoras puedan interrumpir el suministro de acuerdo con los arts. 52.3 LSE y 88.3 LSH. Concluye que el art. 6.4 de la Ley 24/2015 entra dentro de las competencias autonómicas en materia de defensa y protección de los consumidores y usuarios. Por otra parte, la sentencia de 19 de mayo de 2021 de esa misma Sección descartó la inconstitucionalidad del art. 9.4 de la Ley 24/2015 al no inferirse en modo alguno que su contenido afecte a competencias en materia del sector eléctrico y limitarse a establecer un plazo para la emisión del informe de vulnerabilidad y a determinar una presunción de riesgo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Postula que los dos preceptos citados se dictan con sustento en la competencia autonómica en materia de vivienda, sin que sea proyectable la doctrina de la STC 80/2018 al ser la materia regulada encuadrable en vivienda y servicios sociales no en energía. Aun aceptando que la regulación tiene que ver con energía, y que la regulación estatal que se ocupa de proteger al vulnerable es básica, sería posible un desarrollo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La representación de Naturgy Iberia, S.A., presentó sus alegaciones mediante escrito de 19 de octubre de 2023. Interesó que se planteara la cuestión de inconstitucionalidad de los apartados cuarto de los arts. 6 y 9 de la Ley 24/2015 al contravenir el art. 45 y 52.3 LSE y 57 LSH dictados al amparo de las competencias del Estado reconocidas en los arts. 149.1.13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12 de marzo de 2024, la Sección Tercera de la Sala Contencioso-Administrativo del Tribunal Superior de Justicia de Cataluña acordó plantear cuestión de inconstitucionalidad sobre los arts. 6 y 9 en sus apartados cuatro, de la Ley del Parlamento de Cataluña 24/2015, de 29 de julio, de medidas urgentes para afrontar la emergencia en el ámbito de la vivienda y la pobreza energética, en su versión inicial, por vulneración de los arts. 149.1.13 —bases y coordinación de la planificación general de la actividad económica— y 25 —bases del régimen minero y energético—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fundamentación del auto se inicia mediante la reproducción de los arts. 163 CE, 35 LOTC, y del contenido de los arts. 6.4 y 9.4 Ley 24/2015, identificándolos como los preceptos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Razona que el art. 6.4 de la Ley 24/2015 ha sido objeto de reforma por la Ley del Parlamento de Cataluña 3/2023, de 16 de marzo, y que la regla general es que la derogación de la norma extingue el proceso, “ya que la finalidad de este proceso abstracto no es otro que la depuración del ordenamiento jurídico, algo innecesario cuando el propio legislador ha expulsado la norma del ordenamiento. El propio Tribunal Constitucional ha manifestado que dicha regla tiene como excepciones, entre otras, como en el caso que nos ocupa, que el pleito tenga carácter competencial y que tal controversia no pueda entenderse resuelta con la derogación de la norma […] Así sucede en este caso, ya que, además, los preceptos derogados han sido sustituidos por otra redacción que plantearía similares problemas de constitucionalidad. En consecuencia, el proceso no ha perdido objeto, subsistiendo los motivos impugnatorios”.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se produce un conflicto entre el ejercicio de las competencias autonómicas en materia de vivienda (art. 137 del Estatuto de Autonomía de Cataluña) “y las estatales exclusivas básicas en materia de coordinación de la planificación general de la actividad económica (art. 149.1.13 CE) y del régimen energético (art. 149.1.25 CE)”. Identifica la normativa básica estatal en materia energética: arts. 45 y 52 LSE y el Real Decreto 897/2017, de 6 de octubre, por el que se regula la figura del consumidor vulnerable, el bono social y otras medidas de protección para los consumidores domésticos de energía eléctrica, que la desarrolla, del que reproduce su art. 19.3. Transcribe parte del fundamento jurídico 3 c) e i) de la STC 80/2018 y concluye que la contradicción que dicha sentencia afirma entre el apartado quinto del art. 23 de la Ley del Consell de la Generalitat Valenciana 2/2017, de 3 de febrero, por la función social de la vivienda de la Comunitat Valenciana y el apartado tercero del artículo 19 del Real Decreto 897/2017 —que tiene carácter básico, y que determina su inconstitucionalidad y nulidad— se debe aplicar a los artículos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juicio de aplicabilidad y relevancia expone que las resoluciones administrativas impugnadas no indican —pese a lo reflejado en la sentencia de instancia— que su sustento sea la norma reglamentaria del Ayuntamiento de Barcelona que ha sido anulada. Asevera que dichas resoluciones aplican directamente la ley cuestionada, que ha sido interpretada por reiteradas sentencias del Tribunal Supremo en el sentido de que impide el corte del suministro eléctrico hasta que se haya emitido el informe correspondiente (SSTS 1165/2023, de 21 de septiembre, ECLI:ES:TS:2023:3665); 209/2023, de 21 de febrero, ECLI:ES:TS:2023:504, y 956/2022, de 7 de julio, ECLI:ES:TS:2022:2715, entre otras). De esta manera, refiere que “podemos concluir que el motivo de impugnación judicial de las resoluciones administrativas objeto de esta causa tiene un engarce directo en la aplicación de los preceptos legales cuya constitucionalidad se pone en duda, y su validez o no es determinante de que la decisión a adoptar en la presente causa derive en uno u otro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mayo de 2024, el Pleno del Tribunal Constitucional acordó, a los efectos que determina el art. 37.1 de la Ley Orgánica del Tribunal Constitucional (LOTC), oír al fiscal general del Estado para que, en plazo de diez días, alegue lo que considere conveniente acerca de la admisibilidad de la presente cuestión de inconstitucionalidad en relación el 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6 de mayo de 2024, el fiscal ante el Tribunal Constitucional, por delegación del fiscal general del Estado, presentó sus alegaciones en las que se pronuncia a favor de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a la vista de la providencia de 2 de octubre de 2023 que abrió el trámite del art. 35.2 LOTC considera que se ha incumplido lo exigido en dicho artículo, puesto que no identifica directamente las normas legales que posteriormente va a cuestionar, sino que se limita a remitirse a lo alegado por alguna de las partes. Tampoco realiza la menor referencia a la norma o normas constitucionales a las que deberían confrontarse aquellas, de modo que se ha producido un simple traslado procedimental, y no ha permitido al Ministerio Fiscal ni a las partes personadas una adecuada identificación del problema constitucional que se ha suscitado al órgano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Tercera de la Sala de lo Contencioso-Administrativo del Tribunal Superior de Justicia de Cataluña plantea cuestión de inconstitucionalidad en relación con los apartados cuarto de los arts. 6 y 9 de la Ley de Cataluña 24/2015, de 29 de julio, de medidas urgentes para afrontar la emergencia en el ámbito de la vivienda y la pobreza energética, por estimar que podría ser contrario a las competencias del Estado sobre bases y coordinación de la planificación general de la actividad económica (art. 149.1.13 CE) y bases de régimen minero y energético (art. 149.1.25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cuarto del art. 6 de la Ley 24/2015 tiene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6. Medidas para evitar la pobreza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que se aplique el principio de precaución establecido por el apartado 2, cuando la empresa suministradora tenga que realizar un corte de suministro debe solicitar previamente un informe a los servicios sociales municipales, o al órgano de la administración que se determine por reglamento, para determinar si la persona o la unidad familiar se encuentra en una de las situaciones de riesgo de exclusión residencial determinadas por el artículo 5.10. En el supuesto de que se cumplan estos requisitos deben garantizarse los suministros básicos de acuerdo con lo establecido por el apartado 1 y deben aplicarse las ayudas necesarias establecidas por el apartado 3 para no generar deuda alguna a la persona o la unidad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cuarto del art. 9 de la Ley 24/2015 tiene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9. Plazos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solicitud de un informe a los servicios sociales para determinar si una unidad familiar se encuentra en una de las situaciones de riesgo de exclusión residencial determinadas por el artículo 6.4 obliga a la administración a emitir el informe en un plazo de quince días. Si transcurre dicho plazo y no se ha emitido el informe, se entiende que la unidad familiar se encuentra efectivamente en situación de riesgo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entiende que los preceptos cuestionados son contrarios a los arts. 45 y 52 de la Ley del sector eléctrico y al art. 19.3 del Real Decreto 897/2017, que la desarrolla, dictados por el Estado con sustento en las competencias previstas en los arts. 149.1.13 y 25 CE y cuyo carácter básico fue declarado por la STC 80/2018, de 5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LOTC, se ha opuesto a la admisión de la presente cuestión de inconstitucionalidad por entender que la providencia que abre el trámite de audiencia no cumple con los requisitos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los antecedentes resulta que el órgano judicial incumplió el requisito de dar audiencia a las partes en el proceso y al Ministerio Fiscal previsto en el art. 35.2 LOTC, pues la apertura del trámite de audiencia no sirvió para poner de manifiesto cuales eran las dudas de constitucionalidad que albergaba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órgano judicial abrió el trámite de audiencia del art. 35.2 LOTC, mediante la providencia de 2 de octubre de 2023, por la que se dio traslado, por diez días, a las partes y al Ministerio Fiscal para que realizaran las alegaciones que tuvieran por conveniente acerca de “la posibilidad de plantear una cuestión de inconstitucionalidad sobre los diferentes artículos de la Ley catalana 24/2015, de 29 de julio, que ellas citan en sus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advirtió en el procedimiento a quo que en el contenido de dicha providencia no se hacía mención expresa, ni se especificaba, la norma cuestionada ni el precepto constitucional infringido. Señaló que “no se cumplen los presupuestos relativos a la correcta identificación de la norma que suscita las dudas de constitucionalidad y de los preceptos constitucionales que esta pudiera infringir, así como la realización del juicio de aplicabilidad y relevancia”. Por ello, concluyó que no concurrían los requisitos para el planteamiento de la cuestión de inconstitucionalidad. Dicho criterio, como se ha expuesto, es compartido por el fiscal ante este tribunal en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Debe recordarse que la relevancia del trámite de audiencia a las partes en la correcta formulación del proceso constitucional que se plantea al Tribunal Constitucional “exige un estricto y adecuado cumplimiento de los presupuestos procesales, entre los que se encuentra la identificación de los preceptos constitucionales que el órgano judicial considera infringidos por la norma legal” (ATC 63/2019, de 18 de junio, FJ 2). Tal exigencia tiene como finalidad que las partes puedan pronunciarse debidamente sobre “la vinculación entre la norma citada y apreciada por el órgano judicial como cuestionable y los supuestos de hecho que se dan en el caso sometido a su resolución, así como sobre el juicio de conformidad entre la norma y la Constitución, lo que requiere de manera inexcusable, como ya se ha dicho, que la providencia que otorga la audiencia especifique los preceptos legales cuestionados y las normas constitucionales que el órgano judicial estima de posible vulneración por aquellos, quedando vinculado el órgano judicial por los términos en que se haya planteado dicho trámite a la hora de elevar la cuestión de inconstitucionalidad (por todos, AATC 29/2003, de 28 de enero, FJ único; 60/2004, de 24 de febrero, FJ 2, y 96/2004, de 23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por otra parte “[l]a duda de constitucionalidad sometida a debate de las partes ha de ser necesariamente del órgano judicial, que no se puede limitar, a la hora de promover una cuestión de inconstitucionalidad, a remitirse a las dudas que sobre la constitucionalidad de una norma hayan expresado las partes” [ATC 604/2023, de 21 de noviembre, FJ 2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Aplicando esta doctrina, conforme al criterio también expuesto por el Ministerio Fiscal, procede inadmitir la cuestión planteada. El órgano judicial no especifica los preceptos legales cuestionados ni las normas constitucionales que estima de posible vulneración por aquellos, impidiendo de este modo que al elevar la cuestión quede vinculado por los términos en los que se ha planteado dicho trámite. La Sección se limita a referirse a los preceptos cuestionados como “los diferentes artículos de la Ley catalana 24/2015, de 29 de julio, que ellas [las partes] citan en sus escritos” y obliga a los intervinientes en el proceso a indagar en la pluralidad de escritos, los artículos de la Ley 24/2015 que han sido citados, así como a elucubrar sobre las normas constitucionales que aquellos vulneran.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indeterminación de los preceptos cuestionados se refuerza por la indefinición de los escritos de las partes a los que quiere referirse el órgano judicial, lo que a la postre ocasionó incertidumbre en quienes formularon alegaciones —como es el caso del Ayuntamiento de Barcelona— sobre el concreto precepto cuestionado, o que las alegaciones efectuadas se realizaran a modo de hipótesis o de elucubración —como es el caso del Ministerio Fiscal—, tal y como resulta del contenido de sus escritos que ha sido expuesto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partes no pudieron conocer el planteamiento de la inconstitucionalidad realizado por el órgano judicial y situarlo en sus exactos términos constitucionales para pronunciarse sobre él haciendo de este modo posible cumplir con total garantía la finalidad del trámite previsto en el art. 35.2 LOTC (STC 123/2021, de 3 de junio, FJ 2). El órgano judicial no expresó su propia duda de constitucionalidad, sin que pudiera colmar tal déficit por una remisión implícita a las eventuales dudas que sobre la constitucionalidad de la norma hubiera expresado alguna de las partes en sus escritos (ATC 104/2011, de 5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las circunstancias descritas, por sí solas y sin necesidad de entrar en el fondo, determinan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2672-2024 planteada por la Sección Tercera de la Sala Contencioso-Administrativo del Tribunal Superior de Justicia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