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en el recurso de amparo núm. 1372-2022, promovido por doña Olga Villanueva Illana en pleito civil,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marzo de 2022, la procuradora de los tribunales doña Cristina Jiménez de la Plata García de Blas, en nombre y representación de doña Olga Villanueva Illana y bajo la dirección letrada de don Fernando Gabriel Ortega Gil, interpuso recurso de amparo contra: (i) el auto núm. 441/2017 dictado por el Juzgado de Primera Instancia núm. 26 de Madrid el 10 de noviembre de 2017, que puso fin al procedimiento ordinario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Sección Vigesimoctava de refuerzo de la Audiencia Provincial de Madrid, por el que se desestimó el recurso de apelación interpuesto por la demandante de amparo contra el auto de 10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mediante providencia de la Sección Tercera de este tribunal de 22 de mayo de 2023, que apreció la concurrencia en el mismo de una especial trascendencia constitucional porque “el recurso plantea un problema o afecta a una faceta de un derecho fundamental sobre el que no hay doctrina de este tribunal [STC 155/2009, de 25 de junio,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en aplicación del art. 51 de la Ley Orgánica del Tribunal Constitucional (LOTC), se acordó dirigir atenta comunicación a la Sección Vigesimoctava de la Audiencia Provincial de Madrid a fin de que, en un plazo que no excediera de diez días, remitiera testimonio de las actuaciones correspondientes al recurso de apelación núm. 657-2018; así como al Juzgado de Primera Instancia núm. 26 de Madrid a fin de que, en un plazo que no excediera de diez días, y en igual sentido, remitiera testimonio de las actuaciones correspondientes al procedimiento ordinario núm. 1240-2016; debiendo previamente emplazarse a quienes hubieran sido parte en el procedimiento, excepto a la parte recurrente en amparo, para que en el plazo de diez días pudieran comparecer, si lo deseasen,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decretó la formación de pieza separada de suspensión, de conformidad con la solicitud formulada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5 de junio de 2023 se personaron en las actuaciones las mercantiles Buildingcenter, S.A.U., y Caixabank, S.A., representadas por el procurador de los tribunales don Miguel Ángel Montero Reiter y bajo la dirección del letrado don José Marí Olano.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5 de septiembre de 2023 se presenta nuevo escrito de personación de Buildingcenter, S.A.U., bajo la representación del mismo procurador, pero con la asistencia técnica de la letrada doña María Victoria Martín de 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esta Sala ATC 428/2023, de 11 de septiembre, se acordó denegar las medidas cautelares interesadas por la representación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21 de septiembre de 2023, se tuvo por personado y parte en el procedimiento al procurador don Miguel Ángel Montero Reiter, en nombre y representación de Buildingcenter, S.A.U., y Caixabank,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acordó dar vista de las actuaciones recibidas a las partes personadas y al Ministerio Fiscal por plazo común de veinte días, dentro de los cuales podrían presentar las alegaciones que estimaran pertinentes, conforme determina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presentó escrito de alegaciones el 18 de octubre de 2023 ratificando íntegramente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octubre de 2023 la representación de Buildingcenter, S.A.U., y Caixabank, S.A., formuló alegaciones oponiéndose a la 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distintas razones, en esa misma fecha, la representación procesal de Buildingcenter, S.A.U., formuló de nuevo alegaciones, solicitando la desestimación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ante este tribunal el día 10 de noviembre de 2023, solicitando la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días 29 de enero y 1 de febrero de 2024, la representación procesal de la recurrente presentó sendos escritos solicitando de nuevo la medida cautelar de suspensión del procedimiento de desahucio indicado más arriba.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21 de marzo de 2024, la Sala Segunda del Tribunal Constitucional acordó formar pieza separada para la tramitación del incidente de suspensión y concedió tres días a las partes y al Ministerio Fiscal para que se pronunciaran sobre la suspensión del procedimiento de desahucio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de 26 de marzo de 2024, la representación de Buildingcenter, S.A.U., manifestó su oposición a la solicitud de suspensión del procedimiento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esa misma fecha, la representación procesal de doña Olga Villanueva Illana puso en conocimiento del Tribunal que había alcanzado un acuerdo extrajudicial con el propietario de la vivienda y se había acordado suspender el desahucio, por lo que interesaba que se dejara sin efecto la medida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día 1 de abril de 2024 tuvo entrada en este tribunal escrito de alegaciones presentado por la representación procesal de Caixabank, S.A., en el que la parte se oponía igualmente a la adopción de la medida cautelar de suspensión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Ministerio Fiscal presentó escrito el 17 de abril de 2024 en el que, en atención a la petición formulada por la recurrente en su escrito de 26 de marzo, se solicitaba que se tuviera por desistida a esa parte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3 de mayo de 2024, la representación procesal de doña Olga Villanueva Illana presentó escrito comunicando que “renuncia expresamente”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ATC 38/2024, de 6 de mayo, la Sala Segunda de este Tribunal Constitucional aceptó el desistimiento formulado por la representación procesal de la recurrente respecto de la suspensión cautelar del procedimiento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20 de mayo de 2024 compareció ante el Tribunal Constitucional doña Olga Villanueva Illana y ratificó el escrito de renuncia al recurso de amparo presentado por su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En esa misma fecha, la Sala Segunda del Tribunal Constitucional acordó dar vista al Ministerio Fiscal y a las partes personadas del escrito de desistimiento de la recurrente a fin de que en el plazo de tres días alegaran lo que estimaran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La representación procesal de Buildingcenter, S.A.U., mostró su conformidad con dicho desistimiento por escrito de 22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siguiente 23 de mayo manifestó su conformidad la representación procesal de Caixabank,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Ministerio Fiscal interesó que se tuviera por desistida a la parte recurrente y se acordara la finalización del presente recurso de amparo por escrito de 6 de junio de 2024.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se encuentra el desistimiento, prevista en el art. 86.1 LOTC y a la que es de aplicación supletoria la legislación procesal ordinaria (art. 80 LOTC), que la regula en los arts. 19.1 y 20, apartados segundo y tercero,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dichos preceptos legales puede considerarse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precisos, constando la ratificación personal de la demandante de amparo de la petición de desistimiento y archivo formulada por su representación procesal, habiendo mostrado su conformidad el Ministerio Fiscal y las partes personadas. Además, no se aprecia que su aceptación produzca perjuicio de parte ni daño para el interés general 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del presente recurso de amparo a doña Olga Villanueva Illana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